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C1EDA6" w14:textId="45556D03" w:rsidR="00604126" w:rsidRPr="00637262" w:rsidRDefault="000A173C" w:rsidP="00C52082">
      <w:pPr>
        <w:pStyle w:val="Heading1"/>
        <w:spacing w:before="0"/>
      </w:pPr>
      <w:bookmarkStart w:id="0" w:name="_Hlk140149540"/>
      <w:r>
        <w:t>Women’s Economic Security Act (WESA)</w:t>
      </w:r>
      <w:r w:rsidR="0085070C">
        <w:t xml:space="preserve"> and </w:t>
      </w:r>
      <w:r w:rsidR="00393AC7">
        <w:t>p</w:t>
      </w:r>
      <w:r w:rsidR="0085070C">
        <w:t xml:space="preserve">aid </w:t>
      </w:r>
      <w:r w:rsidR="00393AC7">
        <w:t>f</w:t>
      </w:r>
      <w:r w:rsidR="0085070C">
        <w:t xml:space="preserve">amily </w:t>
      </w:r>
      <w:r w:rsidR="40F0FEFB">
        <w:t>and</w:t>
      </w:r>
      <w:r w:rsidR="0085070C">
        <w:t xml:space="preserve"> </w:t>
      </w:r>
      <w:r w:rsidR="00393AC7">
        <w:t>m</w:t>
      </w:r>
      <w:r w:rsidR="0085070C">
        <w:t xml:space="preserve">edical </w:t>
      </w:r>
      <w:r w:rsidR="00393AC7">
        <w:t>l</w:t>
      </w:r>
      <w:r w:rsidR="0085070C">
        <w:t>eave (PFML)</w:t>
      </w:r>
      <w:r>
        <w:t xml:space="preserve"> </w:t>
      </w:r>
      <w:r w:rsidR="360F91D3">
        <w:t>e</w:t>
      </w:r>
      <w:r>
        <w:t xml:space="preserve">ngagement and </w:t>
      </w:r>
      <w:r w:rsidR="0E2475A6">
        <w:t>e</w:t>
      </w:r>
      <w:r>
        <w:t xml:space="preserve">ducation </w:t>
      </w:r>
      <w:r w:rsidR="289AD0EE">
        <w:t>g</w:t>
      </w:r>
      <w:r>
        <w:t>rant</w:t>
      </w:r>
      <w:r w:rsidR="00A331BE">
        <w:t>,</w:t>
      </w:r>
      <w:r>
        <w:t xml:space="preserve"> </w:t>
      </w:r>
      <w:bookmarkEnd w:id="0"/>
      <w:r w:rsidR="00F72609">
        <w:t>fiscal-year</w:t>
      </w:r>
      <w:r w:rsidR="00320C5D">
        <w:t xml:space="preserve"> 20</w:t>
      </w:r>
      <w:r w:rsidR="004F7F81">
        <w:t>25</w:t>
      </w:r>
      <w:r w:rsidR="004F7F81" w:rsidRPr="36AC3487">
        <w:rPr>
          <w:color w:val="C00000"/>
        </w:rPr>
        <w:t xml:space="preserve"> </w:t>
      </w:r>
      <w:r w:rsidR="003017F1" w:rsidRPr="00A16101">
        <w:t>r</w:t>
      </w:r>
      <w:r w:rsidR="00ED551B" w:rsidRPr="00A16101">
        <w:t>equest</w:t>
      </w:r>
      <w:r w:rsidR="00ED551B">
        <w:t xml:space="preserve"> for </w:t>
      </w:r>
      <w:r w:rsidR="003017F1">
        <w:t>p</w:t>
      </w:r>
      <w:r w:rsidR="00ED551B">
        <w:t>roposal</w:t>
      </w:r>
      <w:r w:rsidR="00803C16" w:rsidRPr="36AC3487">
        <w:rPr>
          <w:color w:val="003865" w:themeColor="accent1"/>
        </w:rPr>
        <w:t xml:space="preserve"> (RFP)</w:t>
      </w:r>
    </w:p>
    <w:p w14:paraId="172AADCF" w14:textId="19140BA5" w:rsidR="00B727D0" w:rsidRPr="004B0BCE" w:rsidRDefault="00637262" w:rsidP="00604126">
      <w:pPr>
        <w:rPr>
          <w:color w:val="C00000"/>
        </w:rPr>
      </w:pPr>
      <w:r w:rsidRPr="00C52082">
        <w:rPr>
          <w:rStyle w:val="Heading2Char"/>
        </w:rPr>
        <w:t>Cover page</w:t>
      </w:r>
      <w:r>
        <w:rPr>
          <w:color w:val="C00000"/>
        </w:rPr>
        <w:t xml:space="preserve"> </w:t>
      </w:r>
    </w:p>
    <w:tbl>
      <w:tblPr>
        <w:tblStyle w:val="TableGrid"/>
        <w:tblW w:w="0" w:type="auto"/>
        <w:tblLook w:val="04A0" w:firstRow="1" w:lastRow="0" w:firstColumn="1" w:lastColumn="0" w:noHBand="0" w:noVBand="1"/>
        <w:tblCaption w:val="APEX Construction Career Readiness Trianing Grant information"/>
        <w:tblDescription w:val="Details about the APEX Construction Career Readiness Trianing Grant."/>
      </w:tblPr>
      <w:tblGrid>
        <w:gridCol w:w="2875"/>
        <w:gridCol w:w="7146"/>
      </w:tblGrid>
      <w:tr w:rsidR="00611034" w:rsidRPr="004C3E39" w14:paraId="485BE89D" w14:textId="77777777" w:rsidTr="36AC3487">
        <w:trPr>
          <w:trHeight w:val="517"/>
        </w:trPr>
        <w:tc>
          <w:tcPr>
            <w:tcW w:w="2875" w:type="dxa"/>
            <w:shd w:val="clear" w:color="auto" w:fill="F2F2F2" w:themeFill="background1" w:themeFillShade="F2"/>
            <w:vAlign w:val="center"/>
          </w:tcPr>
          <w:p w14:paraId="782298CF" w14:textId="77777777" w:rsidR="00611034" w:rsidRPr="004B3396" w:rsidRDefault="00611034" w:rsidP="00BB3750">
            <w:pPr>
              <w:rPr>
                <w:rFonts w:cstheme="minorHAnsi"/>
                <w:b/>
              </w:rPr>
            </w:pPr>
            <w:bookmarkStart w:id="1" w:name="_Hlk46734141"/>
            <w:r w:rsidRPr="004B3396">
              <w:rPr>
                <w:rFonts w:cstheme="minorHAnsi"/>
                <w:b/>
              </w:rPr>
              <w:t>Available funding:</w:t>
            </w:r>
          </w:p>
        </w:tc>
        <w:tc>
          <w:tcPr>
            <w:tcW w:w="7146" w:type="dxa"/>
            <w:vAlign w:val="center"/>
          </w:tcPr>
          <w:p w14:paraId="624D3E4D" w14:textId="0C182C81" w:rsidR="00DA4E06" w:rsidRPr="0083363A" w:rsidRDefault="00B162DE" w:rsidP="36AC3487">
            <w:pPr>
              <w:rPr>
                <w:rFonts w:cstheme="minorBidi"/>
              </w:rPr>
            </w:pPr>
            <w:r w:rsidRPr="36AC3487">
              <w:rPr>
                <w:rFonts w:cstheme="minorBidi"/>
              </w:rPr>
              <w:t xml:space="preserve">Up to </w:t>
            </w:r>
            <w:r w:rsidR="006C188F" w:rsidRPr="36AC3487">
              <w:rPr>
                <w:rFonts w:cstheme="minorBidi"/>
              </w:rPr>
              <w:t>$</w:t>
            </w:r>
            <w:r w:rsidR="005A53B5" w:rsidRPr="36AC3487">
              <w:rPr>
                <w:rFonts w:cstheme="minorBidi"/>
              </w:rPr>
              <w:t>150,000</w:t>
            </w:r>
            <w:r w:rsidR="07BB7124" w:rsidRPr="36AC3487">
              <w:rPr>
                <w:rFonts w:cstheme="minorBidi"/>
              </w:rPr>
              <w:t>.</w:t>
            </w:r>
          </w:p>
        </w:tc>
      </w:tr>
      <w:tr w:rsidR="00611034" w:rsidRPr="004C3E39" w14:paraId="504E496B" w14:textId="77777777" w:rsidTr="36AC3487">
        <w:trPr>
          <w:trHeight w:val="517"/>
        </w:trPr>
        <w:tc>
          <w:tcPr>
            <w:tcW w:w="2875" w:type="dxa"/>
            <w:shd w:val="clear" w:color="auto" w:fill="F2F2F2" w:themeFill="background1" w:themeFillShade="F2"/>
            <w:vAlign w:val="center"/>
          </w:tcPr>
          <w:p w14:paraId="08F7A44F" w14:textId="77777777" w:rsidR="00611034" w:rsidRPr="004B3396" w:rsidRDefault="00611034" w:rsidP="00BB3750">
            <w:pPr>
              <w:rPr>
                <w:rFonts w:cstheme="minorHAnsi"/>
                <w:b/>
              </w:rPr>
            </w:pPr>
            <w:r w:rsidRPr="004B3396">
              <w:rPr>
                <w:rFonts w:cstheme="minorHAnsi"/>
                <w:b/>
              </w:rPr>
              <w:t>Purpose:</w:t>
            </w:r>
          </w:p>
        </w:tc>
        <w:tc>
          <w:tcPr>
            <w:tcW w:w="7146" w:type="dxa"/>
            <w:vAlign w:val="center"/>
          </w:tcPr>
          <w:p w14:paraId="1F6712F0" w14:textId="67A997DE" w:rsidR="00611034" w:rsidRPr="0083363A" w:rsidRDefault="2B9845A6" w:rsidP="00BB3750">
            <w:pPr>
              <w:rPr>
                <w:rFonts w:cstheme="minorBidi"/>
              </w:rPr>
            </w:pPr>
            <w:r>
              <w:t>P</w:t>
            </w:r>
            <w:r w:rsidR="007E4FE1">
              <w:t xml:space="preserve">romote education, outreach, communication, engagement and training to build worker and employer understanding of </w:t>
            </w:r>
            <w:r w:rsidR="606D3BD5">
              <w:t>workplace</w:t>
            </w:r>
            <w:r w:rsidR="007E4FE1">
              <w:t xml:space="preserve"> rights </w:t>
            </w:r>
            <w:r w:rsidR="08BB29B5">
              <w:t>relating to</w:t>
            </w:r>
            <w:r w:rsidR="007E4FE1">
              <w:t xml:space="preserve"> pregnancy accommodations</w:t>
            </w:r>
            <w:r w:rsidR="635A55DA">
              <w:t>,</w:t>
            </w:r>
            <w:r w:rsidR="007E4FE1">
              <w:t xml:space="preserve"> express milk in the workplace</w:t>
            </w:r>
            <w:r w:rsidR="6256B775">
              <w:t>,</w:t>
            </w:r>
            <w:r w:rsidR="007E4FE1">
              <w:t xml:space="preserve"> pregnancy and parental leave</w:t>
            </w:r>
            <w:r w:rsidR="006840D0">
              <w:t xml:space="preserve"> </w:t>
            </w:r>
            <w:r w:rsidR="00027ED1">
              <w:t>and</w:t>
            </w:r>
            <w:r w:rsidR="00561D87">
              <w:t>,</w:t>
            </w:r>
            <w:r w:rsidR="00203D17">
              <w:t xml:space="preserve"> beginning </w:t>
            </w:r>
            <w:r w:rsidR="00CC4673">
              <w:t>Jan</w:t>
            </w:r>
            <w:r w:rsidR="00561D87">
              <w:t>.</w:t>
            </w:r>
            <w:r w:rsidR="00CC4673">
              <w:t xml:space="preserve"> 1,</w:t>
            </w:r>
            <w:r w:rsidR="00203D17">
              <w:t xml:space="preserve"> </w:t>
            </w:r>
            <w:r w:rsidR="0093181D">
              <w:t>2026, paid family and medical leave</w:t>
            </w:r>
            <w:r w:rsidR="007E4FE1">
              <w:t>.</w:t>
            </w:r>
          </w:p>
        </w:tc>
      </w:tr>
      <w:tr w:rsidR="00611034" w:rsidRPr="004C3E39" w14:paraId="7289DB16" w14:textId="77777777" w:rsidTr="36AC3487">
        <w:trPr>
          <w:trHeight w:val="517"/>
        </w:trPr>
        <w:tc>
          <w:tcPr>
            <w:tcW w:w="2875" w:type="dxa"/>
            <w:shd w:val="clear" w:color="auto" w:fill="F2F2F2" w:themeFill="background1" w:themeFillShade="F2"/>
            <w:vAlign w:val="center"/>
          </w:tcPr>
          <w:p w14:paraId="66636B9B" w14:textId="77777777" w:rsidR="00611034" w:rsidRPr="004B3396" w:rsidRDefault="00611034" w:rsidP="00BB3750">
            <w:pPr>
              <w:rPr>
                <w:rFonts w:cstheme="minorHAnsi"/>
                <w:b/>
              </w:rPr>
            </w:pPr>
            <w:r w:rsidRPr="004B3396">
              <w:rPr>
                <w:rFonts w:cstheme="minorHAnsi"/>
                <w:b/>
              </w:rPr>
              <w:t>Period of performance:</w:t>
            </w:r>
          </w:p>
        </w:tc>
        <w:tc>
          <w:tcPr>
            <w:tcW w:w="7146" w:type="dxa"/>
            <w:vAlign w:val="center"/>
          </w:tcPr>
          <w:p w14:paraId="0F23FC11" w14:textId="0533C9DC" w:rsidR="00611034" w:rsidRPr="0083363A" w:rsidRDefault="004F7F81" w:rsidP="007065AB">
            <w:pPr>
              <w:ind w:right="106"/>
              <w:rPr>
                <w:rFonts w:cstheme="minorBidi"/>
              </w:rPr>
            </w:pPr>
            <w:r>
              <w:rPr>
                <w:rFonts w:cstheme="minorBidi"/>
              </w:rPr>
              <w:t>July</w:t>
            </w:r>
            <w:r w:rsidRPr="2DF971C6">
              <w:rPr>
                <w:rFonts w:cstheme="minorBidi"/>
              </w:rPr>
              <w:t xml:space="preserve"> </w:t>
            </w:r>
            <w:r w:rsidR="00561958">
              <w:rPr>
                <w:rFonts w:cstheme="minorBidi"/>
              </w:rPr>
              <w:t>1</w:t>
            </w:r>
            <w:r w:rsidR="004345A9" w:rsidRPr="2DF971C6">
              <w:rPr>
                <w:rFonts w:cstheme="minorBidi"/>
              </w:rPr>
              <w:t>, 202</w:t>
            </w:r>
            <w:r>
              <w:rPr>
                <w:rFonts w:cstheme="minorBidi"/>
              </w:rPr>
              <w:t>4</w:t>
            </w:r>
            <w:r w:rsidR="002941B1">
              <w:rPr>
                <w:rFonts w:cstheme="minorBidi"/>
              </w:rPr>
              <w:t>,</w:t>
            </w:r>
            <w:r w:rsidR="004345A9" w:rsidRPr="2DF971C6">
              <w:rPr>
                <w:rFonts w:cstheme="minorBidi"/>
              </w:rPr>
              <w:t xml:space="preserve"> </w:t>
            </w:r>
            <w:r w:rsidR="007065AB" w:rsidRPr="2DF971C6">
              <w:rPr>
                <w:rFonts w:cstheme="minorBidi"/>
              </w:rPr>
              <w:t>or the date the contract is fully executed, whichever occurs later, until</w:t>
            </w:r>
            <w:r w:rsidR="00B54FAC">
              <w:rPr>
                <w:rFonts w:cstheme="minorBidi"/>
              </w:rPr>
              <w:t xml:space="preserve"> </w:t>
            </w:r>
            <w:r w:rsidR="00A519F3">
              <w:rPr>
                <w:rFonts w:cstheme="minorBidi"/>
              </w:rPr>
              <w:t>June 30, 202</w:t>
            </w:r>
            <w:r w:rsidR="00DB2C54">
              <w:rPr>
                <w:rFonts w:cstheme="minorBidi"/>
              </w:rPr>
              <w:t>5</w:t>
            </w:r>
            <w:r w:rsidR="00B54FAC">
              <w:rPr>
                <w:rFonts w:cstheme="minorBidi"/>
              </w:rPr>
              <w:t>.</w:t>
            </w:r>
          </w:p>
        </w:tc>
      </w:tr>
      <w:tr w:rsidR="00611034" w:rsidRPr="004C3E39" w14:paraId="689A598A" w14:textId="77777777" w:rsidTr="36AC3487">
        <w:trPr>
          <w:trHeight w:val="1907"/>
        </w:trPr>
        <w:tc>
          <w:tcPr>
            <w:tcW w:w="2875" w:type="dxa"/>
            <w:shd w:val="clear" w:color="auto" w:fill="F2F2F2" w:themeFill="background1" w:themeFillShade="F2"/>
            <w:vAlign w:val="center"/>
          </w:tcPr>
          <w:p w14:paraId="2DA6BCB3" w14:textId="77777777" w:rsidR="00611034" w:rsidRPr="004B3396" w:rsidRDefault="00611034" w:rsidP="00BB3750">
            <w:pPr>
              <w:rPr>
                <w:rFonts w:cstheme="minorHAnsi"/>
                <w:b/>
              </w:rPr>
            </w:pPr>
            <w:r w:rsidRPr="004B3396">
              <w:rPr>
                <w:rFonts w:cstheme="minorHAnsi"/>
                <w:b/>
              </w:rPr>
              <w:t>Application due date:</w:t>
            </w:r>
          </w:p>
          <w:p w14:paraId="70A1F378" w14:textId="77777777" w:rsidR="00611034" w:rsidRPr="004B3396" w:rsidRDefault="00611034" w:rsidP="00BB3750">
            <w:pPr>
              <w:rPr>
                <w:rFonts w:cstheme="minorHAnsi"/>
              </w:rPr>
            </w:pPr>
          </w:p>
        </w:tc>
        <w:tc>
          <w:tcPr>
            <w:tcW w:w="7146" w:type="dxa"/>
            <w:vAlign w:val="center"/>
          </w:tcPr>
          <w:p w14:paraId="100637A3" w14:textId="65F93D73" w:rsidR="00611034" w:rsidRPr="008056A1" w:rsidRDefault="00611034" w:rsidP="00BB3750">
            <w:pPr>
              <w:rPr>
                <w:rFonts w:cstheme="minorHAnsi"/>
              </w:rPr>
            </w:pPr>
            <w:r w:rsidRPr="006A52E0">
              <w:rPr>
                <w:rFonts w:cstheme="minorHAnsi"/>
              </w:rPr>
              <w:t>Applications are due no later than</w:t>
            </w:r>
            <w:r w:rsidR="004345A9">
              <w:rPr>
                <w:rFonts w:cstheme="minorHAnsi"/>
              </w:rPr>
              <w:t xml:space="preserve"> </w:t>
            </w:r>
            <w:r w:rsidR="0002181B">
              <w:rPr>
                <w:rFonts w:cstheme="minorHAnsi"/>
              </w:rPr>
              <w:t>11:59 p.m.</w:t>
            </w:r>
            <w:r w:rsidR="00AE4E08">
              <w:rPr>
                <w:rFonts w:cstheme="minorHAnsi"/>
              </w:rPr>
              <w:t>,</w:t>
            </w:r>
            <w:r w:rsidR="00DB2C54">
              <w:rPr>
                <w:rFonts w:cstheme="minorHAnsi"/>
              </w:rPr>
              <w:t xml:space="preserve"> </w:t>
            </w:r>
            <w:r w:rsidR="00777CE7">
              <w:rPr>
                <w:rFonts w:cstheme="minorHAnsi"/>
              </w:rPr>
              <w:t>March 11, 2024</w:t>
            </w:r>
            <w:r w:rsidR="00DB2C54">
              <w:rPr>
                <w:rFonts w:cstheme="minorHAnsi"/>
              </w:rPr>
              <w:t>.</w:t>
            </w:r>
          </w:p>
          <w:p w14:paraId="25CEE430" w14:textId="43F0D9CB" w:rsidR="00E46256" w:rsidRDefault="00611034" w:rsidP="00E8661A">
            <w:pPr>
              <w:rPr>
                <w:rFonts w:cstheme="minorHAnsi"/>
              </w:rPr>
            </w:pPr>
            <w:r w:rsidRPr="00646F91">
              <w:rPr>
                <w:rFonts w:cstheme="minorHAnsi"/>
              </w:rPr>
              <w:t>Submit applications by email to</w:t>
            </w:r>
            <w:r w:rsidRPr="008056A1">
              <w:rPr>
                <w:rFonts w:cstheme="minorHAnsi"/>
              </w:rPr>
              <w:t xml:space="preserve"> </w:t>
            </w:r>
            <w:hyperlink r:id="rId8" w:history="1">
              <w:r w:rsidR="008056A1" w:rsidRPr="0048185B">
                <w:rPr>
                  <w:rStyle w:val="Hyperlink"/>
                </w:rPr>
                <w:t>eric.p.olberding@state.mn.us</w:t>
              </w:r>
            </w:hyperlink>
            <w:r w:rsidR="00E46256">
              <w:rPr>
                <w:rFonts w:cstheme="minorHAnsi"/>
              </w:rPr>
              <w:t>.</w:t>
            </w:r>
          </w:p>
          <w:p w14:paraId="44CC31AB" w14:textId="7629557F" w:rsidR="00611034" w:rsidRPr="008056A1" w:rsidRDefault="00E53CEC" w:rsidP="00E8661A">
            <w:pPr>
              <w:rPr>
                <w:rFonts w:cstheme="minorHAnsi"/>
              </w:rPr>
            </w:pPr>
            <w:r w:rsidRPr="008056A1">
              <w:rPr>
                <w:rFonts w:cstheme="minorHAnsi"/>
              </w:rPr>
              <w:t xml:space="preserve">If you would like to submit an application by </w:t>
            </w:r>
            <w:r w:rsidR="00E97183" w:rsidRPr="008056A1">
              <w:rPr>
                <w:rFonts w:cstheme="minorHAnsi"/>
              </w:rPr>
              <w:t>mail,</w:t>
            </w:r>
            <w:r w:rsidRPr="008056A1">
              <w:rPr>
                <w:rFonts w:cstheme="minorHAnsi"/>
              </w:rPr>
              <w:t xml:space="preserve"> contact Eric Olberding at the email above or call 651</w:t>
            </w:r>
            <w:r w:rsidR="00992D87">
              <w:rPr>
                <w:rFonts w:cstheme="minorHAnsi"/>
              </w:rPr>
              <w:t>-</w:t>
            </w:r>
            <w:r w:rsidRPr="008056A1">
              <w:rPr>
                <w:rFonts w:cstheme="minorHAnsi"/>
              </w:rPr>
              <w:t>284</w:t>
            </w:r>
            <w:r w:rsidR="00992D87">
              <w:rPr>
                <w:rFonts w:cstheme="minorHAnsi"/>
              </w:rPr>
              <w:t>-</w:t>
            </w:r>
            <w:r w:rsidR="00945CD1" w:rsidRPr="008056A1">
              <w:rPr>
                <w:rFonts w:cstheme="minorHAnsi"/>
              </w:rPr>
              <w:t>5377.</w:t>
            </w:r>
          </w:p>
        </w:tc>
      </w:tr>
      <w:tr w:rsidR="00E94CEA" w:rsidRPr="004C3E39" w14:paraId="4E7898BF" w14:textId="77777777" w:rsidTr="36AC3487">
        <w:trPr>
          <w:trHeight w:val="872"/>
        </w:trPr>
        <w:tc>
          <w:tcPr>
            <w:tcW w:w="2875" w:type="dxa"/>
            <w:shd w:val="clear" w:color="auto" w:fill="F2F2F2" w:themeFill="background1" w:themeFillShade="F2"/>
            <w:vAlign w:val="center"/>
          </w:tcPr>
          <w:p w14:paraId="5C6784DF" w14:textId="2AC1E153" w:rsidR="00E94CEA" w:rsidRPr="004B3396" w:rsidRDefault="00E94CEA" w:rsidP="00BB3750">
            <w:pPr>
              <w:rPr>
                <w:rFonts w:cstheme="minorHAnsi"/>
                <w:b/>
              </w:rPr>
            </w:pPr>
            <w:r w:rsidRPr="004B3396">
              <w:rPr>
                <w:rFonts w:cstheme="minorHAnsi"/>
                <w:b/>
              </w:rPr>
              <w:t xml:space="preserve">Informational </w:t>
            </w:r>
            <w:r w:rsidR="00E26804" w:rsidRPr="004B3396">
              <w:rPr>
                <w:rFonts w:cstheme="minorHAnsi"/>
                <w:b/>
              </w:rPr>
              <w:t>w</w:t>
            </w:r>
            <w:r w:rsidRPr="004B3396">
              <w:rPr>
                <w:rFonts w:cstheme="minorHAnsi"/>
                <w:b/>
              </w:rPr>
              <w:t>ebinars</w:t>
            </w:r>
          </w:p>
        </w:tc>
        <w:tc>
          <w:tcPr>
            <w:tcW w:w="7146" w:type="dxa"/>
            <w:vAlign w:val="center"/>
          </w:tcPr>
          <w:p w14:paraId="0A61369B" w14:textId="57AE1892" w:rsidR="00E94CEA" w:rsidRPr="006A52E0" w:rsidRDefault="0063651F" w:rsidP="00BB3750">
            <w:pPr>
              <w:rPr>
                <w:rFonts w:cstheme="minorHAnsi"/>
              </w:rPr>
            </w:pPr>
            <w:r w:rsidRPr="5F11761C">
              <w:rPr>
                <w:rFonts w:cstheme="minorBidi"/>
              </w:rPr>
              <w:t xml:space="preserve">Informational webinars will be held on </w:t>
            </w:r>
            <w:r w:rsidRPr="001A2C04">
              <w:rPr>
                <w:rFonts w:cstheme="minorBidi"/>
              </w:rPr>
              <w:t xml:space="preserve">Tuesday, </w:t>
            </w:r>
            <w:r>
              <w:rPr>
                <w:rFonts w:cstheme="minorBidi"/>
              </w:rPr>
              <w:t>Feb. 2</w:t>
            </w:r>
            <w:r w:rsidR="008D78DC">
              <w:rPr>
                <w:rFonts w:cstheme="minorBidi"/>
              </w:rPr>
              <w:t>0</w:t>
            </w:r>
            <w:r w:rsidRPr="001A2C04">
              <w:rPr>
                <w:rFonts w:cstheme="minorBidi"/>
              </w:rPr>
              <w:t xml:space="preserve">, at </w:t>
            </w:r>
            <w:r w:rsidR="008D78DC">
              <w:rPr>
                <w:rFonts w:cstheme="minorBidi"/>
              </w:rPr>
              <w:t>2</w:t>
            </w:r>
            <w:r w:rsidRPr="001A2C04">
              <w:rPr>
                <w:rFonts w:cstheme="minorBidi"/>
              </w:rPr>
              <w:t xml:space="preserve"> p.m.</w:t>
            </w:r>
            <w:r>
              <w:rPr>
                <w:rFonts w:cstheme="minorBidi"/>
              </w:rPr>
              <w:t xml:space="preserve">, </w:t>
            </w:r>
            <w:r w:rsidRPr="5DFE31D8">
              <w:rPr>
                <w:rFonts w:cstheme="minorBidi"/>
              </w:rPr>
              <w:t xml:space="preserve">and on </w:t>
            </w:r>
            <w:r w:rsidR="00114D8C">
              <w:rPr>
                <w:rFonts w:cstheme="minorBidi"/>
              </w:rPr>
              <w:t>Tuesday</w:t>
            </w:r>
            <w:r w:rsidRPr="001A2C04">
              <w:rPr>
                <w:rFonts w:cstheme="minorBidi"/>
              </w:rPr>
              <w:t xml:space="preserve">, </w:t>
            </w:r>
            <w:r>
              <w:rPr>
                <w:rFonts w:cstheme="minorBidi"/>
              </w:rPr>
              <w:t>Feb. 2</w:t>
            </w:r>
            <w:r w:rsidR="00114D8C">
              <w:rPr>
                <w:rFonts w:cstheme="minorBidi"/>
              </w:rPr>
              <w:t>7</w:t>
            </w:r>
            <w:r w:rsidRPr="001A2C04">
              <w:rPr>
                <w:rFonts w:cstheme="minorBidi"/>
              </w:rPr>
              <w:t xml:space="preserve">, at </w:t>
            </w:r>
            <w:r>
              <w:rPr>
                <w:rFonts w:cstheme="minorBidi"/>
              </w:rPr>
              <w:t>1</w:t>
            </w:r>
            <w:r w:rsidR="00114D8C">
              <w:rPr>
                <w:rFonts w:cstheme="minorBidi"/>
              </w:rPr>
              <w:t xml:space="preserve"> p</w:t>
            </w:r>
            <w:r w:rsidRPr="001A2C04">
              <w:rPr>
                <w:rFonts w:cstheme="minorBidi"/>
              </w:rPr>
              <w:t>.m.</w:t>
            </w:r>
          </w:p>
        </w:tc>
      </w:tr>
      <w:tr w:rsidR="00611034" w:rsidRPr="004C3E39" w14:paraId="70A48CC7" w14:textId="77777777" w:rsidTr="36AC3487">
        <w:trPr>
          <w:trHeight w:val="597"/>
        </w:trPr>
        <w:tc>
          <w:tcPr>
            <w:tcW w:w="2875" w:type="dxa"/>
            <w:shd w:val="clear" w:color="auto" w:fill="F2F2F2" w:themeFill="background1" w:themeFillShade="F2"/>
            <w:vAlign w:val="center"/>
          </w:tcPr>
          <w:p w14:paraId="0469FCF8" w14:textId="77777777" w:rsidR="00611034" w:rsidRPr="004B3396" w:rsidRDefault="00611034" w:rsidP="00BB3750">
            <w:pPr>
              <w:rPr>
                <w:rFonts w:cstheme="minorHAnsi"/>
                <w:b/>
              </w:rPr>
            </w:pPr>
            <w:r w:rsidRPr="004B3396">
              <w:rPr>
                <w:rFonts w:cstheme="minorHAnsi"/>
                <w:b/>
              </w:rPr>
              <w:t>Questions:</w:t>
            </w:r>
          </w:p>
        </w:tc>
        <w:tc>
          <w:tcPr>
            <w:tcW w:w="7146" w:type="dxa"/>
            <w:vAlign w:val="center"/>
          </w:tcPr>
          <w:p w14:paraId="711A76E7" w14:textId="15105E43" w:rsidR="00611034" w:rsidRDefault="00611034" w:rsidP="00BB3750">
            <w:pPr>
              <w:rPr>
                <w:rFonts w:cstheme="minorBidi"/>
              </w:rPr>
            </w:pPr>
            <w:r w:rsidRPr="7A253AD5">
              <w:rPr>
                <w:rFonts w:cstheme="minorBidi"/>
              </w:rPr>
              <w:t>Questions may be submitted by phone or email.</w:t>
            </w:r>
          </w:p>
          <w:p w14:paraId="788D28A6" w14:textId="79176595" w:rsidR="00022CB0" w:rsidRDefault="004E0AE1" w:rsidP="00BB3750">
            <w:pPr>
              <w:rPr>
                <w:rFonts w:cstheme="minorHAnsi"/>
              </w:rPr>
            </w:pPr>
            <w:r>
              <w:rPr>
                <w:rFonts w:cstheme="minorBidi"/>
              </w:rPr>
              <w:t>S</w:t>
            </w:r>
            <w:r w:rsidR="00611034" w:rsidRPr="2DF971C6">
              <w:rPr>
                <w:rFonts w:cstheme="minorBidi"/>
              </w:rPr>
              <w:t xml:space="preserve">ubmit questions no later than 4 p.m., </w:t>
            </w:r>
            <w:r w:rsidR="000F088B">
              <w:rPr>
                <w:rFonts w:cstheme="minorBidi"/>
              </w:rPr>
              <w:t>May 1, 2024</w:t>
            </w:r>
            <w:r w:rsidR="00611034" w:rsidRPr="2DF971C6">
              <w:rPr>
                <w:rFonts w:cstheme="minorBidi"/>
              </w:rPr>
              <w:t xml:space="preserve">, Central </w:t>
            </w:r>
            <w:r w:rsidR="00F93222">
              <w:rPr>
                <w:rFonts w:cstheme="minorBidi"/>
              </w:rPr>
              <w:t>Standard</w:t>
            </w:r>
            <w:r w:rsidR="00611034" w:rsidRPr="2DF971C6">
              <w:rPr>
                <w:rFonts w:cstheme="minorBidi"/>
              </w:rPr>
              <w:t xml:space="preserve"> Time.</w:t>
            </w:r>
            <w:r w:rsidR="00DA7E14" w:rsidRPr="2DF971C6">
              <w:rPr>
                <w:rFonts w:cstheme="minorBidi"/>
              </w:rPr>
              <w:t xml:space="preserve"> </w:t>
            </w:r>
            <w:r w:rsidR="00611034" w:rsidRPr="2DF971C6">
              <w:rPr>
                <w:rFonts w:cstheme="minorBidi"/>
              </w:rPr>
              <w:t>Questions and answers will be posted</w:t>
            </w:r>
            <w:r w:rsidR="00E956C6" w:rsidRPr="2DF971C6">
              <w:rPr>
                <w:rFonts w:cstheme="minorBidi"/>
              </w:rPr>
              <w:t xml:space="preserve"> </w:t>
            </w:r>
            <w:r w:rsidR="00D92DF1">
              <w:rPr>
                <w:rFonts w:cstheme="minorHAnsi"/>
              </w:rPr>
              <w:t>Monday</w:t>
            </w:r>
            <w:r w:rsidR="00D92DF1" w:rsidRPr="001A2C04">
              <w:rPr>
                <w:rFonts w:cstheme="minorHAnsi"/>
              </w:rPr>
              <w:t xml:space="preserve">, </w:t>
            </w:r>
            <w:r w:rsidR="00D92DF1">
              <w:rPr>
                <w:rFonts w:cstheme="minorHAnsi"/>
              </w:rPr>
              <w:t xml:space="preserve">Feb. </w:t>
            </w:r>
            <w:r w:rsidR="00E94CEA">
              <w:rPr>
                <w:rFonts w:cstheme="minorHAnsi"/>
              </w:rPr>
              <w:t>20,</w:t>
            </w:r>
            <w:r w:rsidR="00D92DF1" w:rsidRPr="001A2C04">
              <w:rPr>
                <w:rFonts w:cstheme="minorHAnsi"/>
              </w:rPr>
              <w:t xml:space="preserve"> </w:t>
            </w:r>
            <w:r w:rsidR="00D92DF1">
              <w:rPr>
                <w:rFonts w:cstheme="minorHAnsi"/>
              </w:rPr>
              <w:t>Feb. 26</w:t>
            </w:r>
            <w:r w:rsidR="00D92DF1" w:rsidRPr="001A2C04">
              <w:rPr>
                <w:rFonts w:cstheme="minorHAnsi"/>
              </w:rPr>
              <w:t xml:space="preserve"> </w:t>
            </w:r>
            <w:r w:rsidR="00E94CEA">
              <w:rPr>
                <w:rFonts w:cstheme="minorHAnsi"/>
              </w:rPr>
              <w:t>and Ma</w:t>
            </w:r>
            <w:r w:rsidR="00022CB0">
              <w:rPr>
                <w:rFonts w:cstheme="minorHAnsi"/>
              </w:rPr>
              <w:t>rch</w:t>
            </w:r>
            <w:r w:rsidR="00E94CEA">
              <w:rPr>
                <w:rFonts w:cstheme="minorHAnsi"/>
              </w:rPr>
              <w:t xml:space="preserve"> 4 </w:t>
            </w:r>
            <w:r w:rsidR="00D92DF1" w:rsidRPr="00682554">
              <w:rPr>
                <w:rFonts w:cstheme="minorHAnsi"/>
              </w:rPr>
              <w:t>at</w:t>
            </w:r>
            <w:r w:rsidR="00D92DF1" w:rsidRPr="00DA7E14">
              <w:rPr>
                <w:rFonts w:cstheme="minorHAnsi"/>
                <w:color w:val="C00000"/>
              </w:rPr>
              <w:t xml:space="preserve"> </w:t>
            </w:r>
            <w:hyperlink r:id="rId9">
              <w:r w:rsidR="0004236C" w:rsidRPr="2DF971C6">
                <w:rPr>
                  <w:rStyle w:val="Hyperlink"/>
                </w:rPr>
                <w:t>dli.mn.gov/business/employment-practices/womens-economic-security-act-wesa-engagement-and-education-grant</w:t>
              </w:r>
            </w:hyperlink>
            <w:r w:rsidR="00022CB0">
              <w:rPr>
                <w:rFonts w:cstheme="minorHAnsi"/>
              </w:rPr>
              <w:t>.</w:t>
            </w:r>
          </w:p>
          <w:p w14:paraId="2A2DC11A" w14:textId="11A0F5C0" w:rsidR="00611034" w:rsidRPr="00D56A32" w:rsidDel="00307E82" w:rsidRDefault="00611034" w:rsidP="36AC3487">
            <w:r w:rsidRPr="36AC3487">
              <w:rPr>
                <w:rFonts w:cstheme="minorBidi"/>
              </w:rPr>
              <w:t>Contact:</w:t>
            </w:r>
            <w:r w:rsidR="525BD06C" w:rsidRPr="36AC3487">
              <w:rPr>
                <w:rFonts w:cstheme="minorBidi"/>
              </w:rPr>
              <w:t xml:space="preserve"> </w:t>
            </w:r>
            <w:r w:rsidR="00EA0644" w:rsidRPr="36AC3487">
              <w:rPr>
                <w:rFonts w:cstheme="minorBidi"/>
              </w:rPr>
              <w:t xml:space="preserve"> Eric  Olberding</w:t>
            </w:r>
            <w:r w:rsidRPr="36AC3487">
              <w:rPr>
                <w:rFonts w:cstheme="minorBidi"/>
                <w:color w:val="C00000"/>
              </w:rPr>
              <w:t xml:space="preserve"> </w:t>
            </w:r>
          </w:p>
          <w:p w14:paraId="4F194366" w14:textId="1BD0FDFA" w:rsidR="00611034" w:rsidRPr="00307E82" w:rsidRDefault="00D02F15" w:rsidP="36AC3487">
            <w:pPr>
              <w:rPr>
                <w:rStyle w:val="Hyperlink"/>
                <w:rFonts w:eastAsiaTheme="majorEastAsia"/>
                <w:color w:val="auto"/>
                <w:u w:val="none"/>
              </w:rPr>
            </w:pPr>
            <w:r>
              <w:t xml:space="preserve">Email: </w:t>
            </w:r>
            <w:r w:rsidR="0A9A1F3A">
              <w:t xml:space="preserve"> </w:t>
            </w:r>
            <w:hyperlink r:id="rId10">
              <w:r w:rsidR="00EA0644" w:rsidRPr="36AC3487">
                <w:rPr>
                  <w:rStyle w:val="Hyperlink"/>
                </w:rPr>
                <w:t>eric.p.olberding@state.mn.us</w:t>
              </w:r>
            </w:hyperlink>
            <w:r w:rsidR="00EA0644">
              <w:t xml:space="preserve"> </w:t>
            </w:r>
            <w:r w:rsidR="7DB5C1AD">
              <w:t>or</w:t>
            </w:r>
            <w:r w:rsidR="00EA0644">
              <w:t xml:space="preserve"> </w:t>
            </w:r>
            <w:r w:rsidR="6C396A61">
              <w:t>p</w:t>
            </w:r>
            <w:r w:rsidRPr="36AC3487">
              <w:rPr>
                <w:rStyle w:val="Hyperlink"/>
                <w:rFonts w:eastAsiaTheme="majorEastAsia"/>
                <w:color w:val="auto"/>
                <w:u w:val="none"/>
              </w:rPr>
              <w:t>hone:</w:t>
            </w:r>
            <w:r w:rsidR="00EA0644" w:rsidRPr="36AC3487">
              <w:rPr>
                <w:rStyle w:val="Hyperlink"/>
                <w:rFonts w:eastAsiaTheme="majorEastAsia"/>
                <w:color w:val="auto"/>
                <w:u w:val="none"/>
              </w:rPr>
              <w:t xml:space="preserve"> </w:t>
            </w:r>
            <w:r w:rsidR="57BFA69A" w:rsidRPr="36AC3487">
              <w:rPr>
                <w:rStyle w:val="Hyperlink"/>
                <w:rFonts w:eastAsiaTheme="majorEastAsia"/>
                <w:color w:val="auto"/>
                <w:u w:val="none"/>
              </w:rPr>
              <w:t xml:space="preserve"> </w:t>
            </w:r>
            <w:r w:rsidR="00EA0644" w:rsidRPr="36AC3487">
              <w:rPr>
                <w:rStyle w:val="Hyperlink"/>
                <w:rFonts w:eastAsiaTheme="majorEastAsia"/>
                <w:color w:val="auto"/>
                <w:u w:val="none"/>
              </w:rPr>
              <w:t>651</w:t>
            </w:r>
            <w:r w:rsidR="7D28F5AE" w:rsidRPr="36AC3487">
              <w:rPr>
                <w:rStyle w:val="Hyperlink"/>
                <w:rFonts w:eastAsiaTheme="majorEastAsia"/>
                <w:color w:val="auto"/>
                <w:u w:val="none"/>
              </w:rPr>
              <w:t>-</w:t>
            </w:r>
            <w:r w:rsidR="00EA0644" w:rsidRPr="36AC3487">
              <w:rPr>
                <w:rStyle w:val="Hyperlink"/>
                <w:rFonts w:eastAsiaTheme="majorEastAsia"/>
                <w:color w:val="auto"/>
                <w:u w:val="none"/>
              </w:rPr>
              <w:t>284</w:t>
            </w:r>
            <w:r w:rsidR="192653DF" w:rsidRPr="36AC3487">
              <w:rPr>
                <w:rStyle w:val="Hyperlink"/>
                <w:rFonts w:eastAsiaTheme="majorEastAsia"/>
                <w:color w:val="auto"/>
                <w:u w:val="none"/>
              </w:rPr>
              <w:t>-</w:t>
            </w:r>
            <w:r w:rsidR="00EA0644" w:rsidRPr="36AC3487">
              <w:rPr>
                <w:rStyle w:val="Hyperlink"/>
                <w:rFonts w:eastAsiaTheme="majorEastAsia"/>
                <w:color w:val="auto"/>
                <w:u w:val="none"/>
              </w:rPr>
              <w:t>5377</w:t>
            </w:r>
            <w:r w:rsidR="55E515D1" w:rsidRPr="36AC3487">
              <w:rPr>
                <w:rStyle w:val="Hyperlink"/>
                <w:rFonts w:eastAsiaTheme="majorEastAsia"/>
                <w:color w:val="auto"/>
                <w:u w:val="none"/>
              </w:rPr>
              <w:t>.</w:t>
            </w:r>
          </w:p>
          <w:p w14:paraId="633B2FC5" w14:textId="3BAC2F8B" w:rsidR="00611034" w:rsidRPr="00B233A8" w:rsidRDefault="00611034" w:rsidP="005E5B74">
            <w:pPr>
              <w:rPr>
                <w:rFonts w:cstheme="minorBidi"/>
              </w:rPr>
            </w:pPr>
            <w:r w:rsidRPr="7A253AD5">
              <w:rPr>
                <w:rFonts w:cstheme="minorBidi"/>
              </w:rPr>
              <w:t>If needed, our agency has access to Language Line, a free language translation service for limited-English speakers.</w:t>
            </w:r>
            <w:r w:rsidR="005E5B74" w:rsidRPr="7A253AD5">
              <w:rPr>
                <w:rFonts w:cstheme="minorBidi"/>
              </w:rPr>
              <w:t xml:space="preserve"> </w:t>
            </w:r>
            <w:r w:rsidRPr="7A253AD5">
              <w:rPr>
                <w:rFonts w:cstheme="minorBidi"/>
              </w:rPr>
              <w:t>C</w:t>
            </w:r>
            <w:r w:rsidR="0026645F">
              <w:rPr>
                <w:rFonts w:cstheme="minorBidi"/>
              </w:rPr>
              <w:t>all</w:t>
            </w:r>
            <w:r w:rsidRPr="7A253AD5">
              <w:rPr>
                <w:rFonts w:cstheme="minorBidi"/>
              </w:rPr>
              <w:t xml:space="preserve"> us and we will get in touch with an interpreter at 651-284-5005 or 800-342-5354</w:t>
            </w:r>
            <w:r w:rsidR="006D49A1">
              <w:rPr>
                <w:rFonts w:cstheme="minorBidi"/>
              </w:rPr>
              <w:t>.</w:t>
            </w:r>
          </w:p>
        </w:tc>
      </w:tr>
      <w:tr w:rsidR="00611034" w:rsidRPr="004C3E39" w14:paraId="3770BED3" w14:textId="77777777" w:rsidTr="36AC3487">
        <w:trPr>
          <w:trHeight w:val="517"/>
        </w:trPr>
        <w:tc>
          <w:tcPr>
            <w:tcW w:w="2875" w:type="dxa"/>
            <w:shd w:val="clear" w:color="auto" w:fill="F2F2F2" w:themeFill="background1" w:themeFillShade="F2"/>
            <w:vAlign w:val="center"/>
          </w:tcPr>
          <w:p w14:paraId="73B9A3ED" w14:textId="77777777" w:rsidR="00611034" w:rsidRPr="00B24C21" w:rsidRDefault="00611034" w:rsidP="00BB3750">
            <w:pPr>
              <w:rPr>
                <w:rFonts w:cstheme="minorHAnsi"/>
                <w:b/>
                <w:color w:val="002060"/>
              </w:rPr>
            </w:pPr>
            <w:r w:rsidRPr="00B24C21">
              <w:rPr>
                <w:rFonts w:cstheme="minorHAnsi"/>
                <w:b/>
                <w:color w:val="002060"/>
              </w:rPr>
              <w:t xml:space="preserve">Notification of </w:t>
            </w:r>
            <w:r>
              <w:rPr>
                <w:rFonts w:cstheme="minorHAnsi"/>
                <w:b/>
                <w:color w:val="002060"/>
              </w:rPr>
              <w:t>award</w:t>
            </w:r>
            <w:r w:rsidRPr="00B24C21">
              <w:rPr>
                <w:rFonts w:cstheme="minorHAnsi"/>
                <w:b/>
                <w:color w:val="002060"/>
              </w:rPr>
              <w:t>:</w:t>
            </w:r>
          </w:p>
        </w:tc>
        <w:tc>
          <w:tcPr>
            <w:tcW w:w="7146" w:type="dxa"/>
            <w:vAlign w:val="center"/>
          </w:tcPr>
          <w:p w14:paraId="33D2C232" w14:textId="74C64C69" w:rsidR="00611034" w:rsidRPr="006E64F1" w:rsidRDefault="00611034" w:rsidP="00BB3750">
            <w:pPr>
              <w:rPr>
                <w:rFonts w:cstheme="minorBidi"/>
              </w:rPr>
            </w:pPr>
            <w:r w:rsidRPr="155E2B4F">
              <w:rPr>
                <w:rFonts w:cstheme="minorBidi"/>
              </w:rPr>
              <w:t>Applicant</w:t>
            </w:r>
            <w:r w:rsidRPr="668D2285">
              <w:rPr>
                <w:rFonts w:cstheme="minorBidi"/>
              </w:rPr>
              <w:t xml:space="preserve"> </w:t>
            </w:r>
            <w:r w:rsidRPr="034A816B">
              <w:rPr>
                <w:rFonts w:cstheme="minorBidi"/>
              </w:rPr>
              <w:t>awards</w:t>
            </w:r>
            <w:r w:rsidRPr="668D2285">
              <w:rPr>
                <w:rFonts w:cstheme="minorBidi"/>
              </w:rPr>
              <w:t xml:space="preserve"> will be </w:t>
            </w:r>
            <w:r w:rsidR="3A0CF461" w:rsidRPr="414B0295">
              <w:rPr>
                <w:rFonts w:cstheme="minorBidi"/>
              </w:rPr>
              <w:t>announced</w:t>
            </w:r>
            <w:r w:rsidR="005F7982" w:rsidRPr="668D2285" w:rsidDel="00210F11">
              <w:rPr>
                <w:rFonts w:cstheme="minorBidi"/>
              </w:rPr>
              <w:t xml:space="preserve"> </w:t>
            </w:r>
            <w:r w:rsidR="3A0CF461" w:rsidRPr="2CC843C8">
              <w:rPr>
                <w:rFonts w:cstheme="minorBidi"/>
              </w:rPr>
              <w:t>in</w:t>
            </w:r>
            <w:r w:rsidR="005F7982" w:rsidRPr="2CC843C8">
              <w:rPr>
                <w:rFonts w:cstheme="minorBidi"/>
              </w:rPr>
              <w:t xml:space="preserve"> </w:t>
            </w:r>
            <w:r w:rsidR="005F7982" w:rsidRPr="668D2285">
              <w:rPr>
                <w:rFonts w:cstheme="minorBidi"/>
              </w:rPr>
              <w:t>May 2024.</w:t>
            </w:r>
          </w:p>
        </w:tc>
      </w:tr>
      <w:tr w:rsidR="00D3338E" w:rsidRPr="004C3E39" w14:paraId="7CB55870" w14:textId="77777777" w:rsidTr="36AC3487">
        <w:trPr>
          <w:trHeight w:val="517"/>
        </w:trPr>
        <w:tc>
          <w:tcPr>
            <w:tcW w:w="2875" w:type="dxa"/>
            <w:shd w:val="clear" w:color="auto" w:fill="F2F2F2" w:themeFill="background1" w:themeFillShade="F2"/>
            <w:vAlign w:val="center"/>
          </w:tcPr>
          <w:p w14:paraId="3C5CDD24" w14:textId="7153B5FA" w:rsidR="00D3338E" w:rsidRPr="00B24C21" w:rsidRDefault="00D3338E" w:rsidP="00BB3750">
            <w:pPr>
              <w:rPr>
                <w:rFonts w:cstheme="minorHAnsi"/>
                <w:b/>
                <w:color w:val="002060"/>
              </w:rPr>
            </w:pPr>
            <w:r w:rsidRPr="00D3338E">
              <w:rPr>
                <w:rFonts w:cstheme="minorHAnsi"/>
                <w:b/>
                <w:color w:val="002060"/>
              </w:rPr>
              <w:t>All RFP and application documents can be found at:</w:t>
            </w:r>
          </w:p>
        </w:tc>
        <w:tc>
          <w:tcPr>
            <w:tcW w:w="7146" w:type="dxa"/>
            <w:vAlign w:val="center"/>
          </w:tcPr>
          <w:p w14:paraId="519C855E" w14:textId="57A8CB86" w:rsidR="006D49A1" w:rsidRPr="004B3396" w:rsidRDefault="006D49A1" w:rsidP="00BB3750">
            <w:pPr>
              <w:rPr>
                <w:color w:val="0563C1" w:themeColor="hyperlink"/>
                <w:u w:val="single"/>
              </w:rPr>
            </w:pPr>
            <w:r w:rsidRPr="006D49A1">
              <w:rPr>
                <w:rStyle w:val="Hyperlink"/>
              </w:rPr>
              <w:t>dli.mn.gov/business/employment-practices/womens-economic-security-act-wesa-engagement-and-education-grant</w:t>
            </w:r>
          </w:p>
        </w:tc>
      </w:tr>
    </w:tbl>
    <w:bookmarkEnd w:id="1"/>
    <w:p w14:paraId="3F7469E2" w14:textId="4319EF8D" w:rsidR="00E92F0D" w:rsidRDefault="00AF1B91" w:rsidP="00AF1B91">
      <w:pPr>
        <w:pStyle w:val="Heading2"/>
      </w:pPr>
      <w:r w:rsidRPr="00AF1B91">
        <w:t xml:space="preserve">1. </w:t>
      </w:r>
      <w:r w:rsidR="00E92F0D">
        <w:t xml:space="preserve">Name of </w:t>
      </w:r>
      <w:r w:rsidR="007E5067">
        <w:t>g</w:t>
      </w:r>
      <w:r w:rsidR="00E92F0D">
        <w:t xml:space="preserve">rant </w:t>
      </w:r>
      <w:r w:rsidR="007E5067">
        <w:t>p</w:t>
      </w:r>
      <w:r w:rsidR="00E92F0D">
        <w:t>rogram</w:t>
      </w:r>
    </w:p>
    <w:p w14:paraId="086935F3" w14:textId="4E109D4D" w:rsidR="008E7080" w:rsidRPr="004239B8" w:rsidRDefault="00CE39E6" w:rsidP="008E7080">
      <w:pPr>
        <w:rPr>
          <w:color w:val="C00000"/>
        </w:rPr>
      </w:pPr>
      <w:bookmarkStart w:id="2" w:name="_Hlk140149502"/>
      <w:r>
        <w:t xml:space="preserve">Women’s Economic Security Act (WESA) </w:t>
      </w:r>
      <w:r w:rsidR="00B60DFE">
        <w:t xml:space="preserve">and </w:t>
      </w:r>
      <w:r w:rsidR="006D49A1">
        <w:t>p</w:t>
      </w:r>
      <w:r w:rsidR="00B60DFE">
        <w:t xml:space="preserve">aid </w:t>
      </w:r>
      <w:r w:rsidR="006D49A1">
        <w:t>f</w:t>
      </w:r>
      <w:r w:rsidR="00B60DFE">
        <w:t>amily and</w:t>
      </w:r>
      <w:r w:rsidR="006D49A1">
        <w:t xml:space="preserve"> m</w:t>
      </w:r>
      <w:r w:rsidR="00B60DFE">
        <w:t xml:space="preserve">edical </w:t>
      </w:r>
      <w:r w:rsidR="006D49A1">
        <w:t>l</w:t>
      </w:r>
      <w:r w:rsidR="00B60DFE">
        <w:t xml:space="preserve">eave (PFML) </w:t>
      </w:r>
      <w:r w:rsidR="0DED55E8">
        <w:t>e</w:t>
      </w:r>
      <w:r>
        <w:t xml:space="preserve">ngagement and </w:t>
      </w:r>
      <w:r w:rsidR="57FC1F84">
        <w:t>e</w:t>
      </w:r>
      <w:r>
        <w:t xml:space="preserve">ducation </w:t>
      </w:r>
      <w:r w:rsidR="1EF59C85">
        <w:t>g</w:t>
      </w:r>
      <w:r>
        <w:t>rant</w:t>
      </w:r>
      <w:r w:rsidR="004425EA">
        <w:t>,</w:t>
      </w:r>
      <w:r w:rsidR="00404806">
        <w:t xml:space="preserve"> </w:t>
      </w:r>
      <w:r w:rsidR="00B44A15">
        <w:t>fiscal-year 2025.</w:t>
      </w:r>
    </w:p>
    <w:bookmarkEnd w:id="2"/>
    <w:p w14:paraId="151D2DF8" w14:textId="1F85A340" w:rsidR="003133A4" w:rsidRDefault="003133A4" w:rsidP="003133A4">
      <w:pPr>
        <w:pStyle w:val="Heading2"/>
      </w:pPr>
      <w:r>
        <w:t>2</w:t>
      </w:r>
      <w:r w:rsidRPr="00AF1B91">
        <w:t xml:space="preserve">. </w:t>
      </w:r>
      <w:r>
        <w:t xml:space="preserve">Purpose of grant: </w:t>
      </w:r>
      <w:r w:rsidR="003936C2">
        <w:t xml:space="preserve"> B</w:t>
      </w:r>
      <w:r>
        <w:t>ackground, objectives, focus populations and outcomes</w:t>
      </w:r>
    </w:p>
    <w:p w14:paraId="1B794B67" w14:textId="77777777" w:rsidR="003133A4" w:rsidRDefault="003133A4" w:rsidP="003133A4">
      <w:pPr>
        <w:pStyle w:val="Heading3"/>
      </w:pPr>
      <w:r>
        <w:t xml:space="preserve">Background </w:t>
      </w:r>
    </w:p>
    <w:p w14:paraId="19E3F764" w14:textId="149E9CC1" w:rsidR="002E2997" w:rsidRDefault="002E2997" w:rsidP="002E2997">
      <w:pPr>
        <w:spacing w:before="120" w:after="0"/>
      </w:pPr>
      <w:r>
        <w:t xml:space="preserve">Minnesota workers have a variety of workplace protections to ensure they are treated fairly and compensated appropriately for their work in Minnesota; these laws address wage theft, child labor, accommodations for pregnant or nursing employees and more. As a result of the 2023 legislative session, Minnesota workers will have even greater protections in the workplace. However, certain barriers, including those related to education, income, immigration status, geographic isolation and language access can impact workers’ awareness of, and ability to assert, their rights and access to services that can help. </w:t>
      </w:r>
      <w:r w:rsidR="22237E99">
        <w:t xml:space="preserve">This grant aims to </w:t>
      </w:r>
      <w:r w:rsidR="13D40D24" w:rsidRPr="00592567">
        <w:rPr>
          <w:rFonts w:eastAsia="Calibri" w:cs="Calibri"/>
        </w:rPr>
        <w:t>educate employers about their workplace responsibilities under WESA</w:t>
      </w:r>
      <w:r w:rsidR="00210F11">
        <w:rPr>
          <w:rFonts w:eastAsia="Calibri" w:cs="Calibri"/>
        </w:rPr>
        <w:t xml:space="preserve"> and PFML, and to</w:t>
      </w:r>
      <w:r w:rsidRPr="00592567">
        <w:rPr>
          <w:rFonts w:eastAsia="Calibri" w:cs="Calibri"/>
        </w:rPr>
        <w:t xml:space="preserve"> </w:t>
      </w:r>
      <w:r>
        <w:t>empower workers, especially those who encounter barriers, by teaching them about their workplace rights and the options available to them when their rights are violated.</w:t>
      </w:r>
    </w:p>
    <w:p w14:paraId="77B5C3C5" w14:textId="45A12289" w:rsidR="002E2997" w:rsidRPr="009D4579" w:rsidRDefault="002E2997" w:rsidP="00D72FAC">
      <w:pPr>
        <w:spacing w:before="120" w:after="0"/>
        <w:rPr>
          <w:color w:val="C00000"/>
        </w:rPr>
      </w:pPr>
      <w:r>
        <w:t xml:space="preserve">The Minnesota Department of Labor and Industry’s (DLI) mission is to ensure Minnesota’s work and living environments are equitable, healthy, and safe. </w:t>
      </w:r>
      <w:r w:rsidR="0035663C">
        <w:t>DLI</w:t>
      </w:r>
      <w:r>
        <w:t xml:space="preserve"> serves employees, employers and the public by regulating buildings and workplaces through education and enforcement. DLI will advance equity by identifying disparities and creating systemic change to better serve and protect all Minnesotans. DLI</w:t>
      </w:r>
      <w:r w:rsidR="008B0029">
        <w:t>’s Labor Standards Division</w:t>
      </w:r>
      <w:r>
        <w:t xml:space="preserve"> protects the rights of workers and levels the playing field for employers who are meeting their legal responsibilities</w:t>
      </w:r>
      <w:r w:rsidR="002917DD">
        <w:t xml:space="preserve"> </w:t>
      </w:r>
      <w:r>
        <w:t>through education</w:t>
      </w:r>
      <w:r w:rsidR="002917DD">
        <w:t>,</w:t>
      </w:r>
      <w:r>
        <w:t xml:space="preserve"> as well as the administration and enforcement of labor and employment laws. </w:t>
      </w:r>
    </w:p>
    <w:p w14:paraId="4123E47F" w14:textId="77777777" w:rsidR="0067142A" w:rsidRDefault="0067142A" w:rsidP="0067142A">
      <w:pPr>
        <w:pStyle w:val="Heading3"/>
      </w:pPr>
      <w:r>
        <w:t>Objective</w:t>
      </w:r>
    </w:p>
    <w:p w14:paraId="6057DA3B" w14:textId="3E106F5C" w:rsidR="00242FF1" w:rsidRDefault="005238CC" w:rsidP="005238CC">
      <w:pPr>
        <w:spacing w:before="120" w:after="0"/>
      </w:pPr>
      <w:r>
        <w:t>This grant funding is to promote education, outreach, communication, engagement and training to build worker and employer understanding of Minnesota laws relating to pregnant</w:t>
      </w:r>
      <w:r w:rsidR="00156B6E">
        <w:t xml:space="preserve"> workers’</w:t>
      </w:r>
      <w:r>
        <w:t xml:space="preserve"> and </w:t>
      </w:r>
      <w:r w:rsidR="193DC06C">
        <w:t>new parents’ workplace</w:t>
      </w:r>
      <w:r w:rsidR="482DE38C">
        <w:t xml:space="preserve"> </w:t>
      </w:r>
      <w:r>
        <w:t>rights to pregnancy accommodations</w:t>
      </w:r>
      <w:r w:rsidR="4F4F07C7">
        <w:t>,</w:t>
      </w:r>
      <w:r w:rsidR="00506E96">
        <w:t xml:space="preserve"> </w:t>
      </w:r>
      <w:r>
        <w:t>express milk in the workplace</w:t>
      </w:r>
      <w:r w:rsidR="009942DE">
        <w:t xml:space="preserve"> and</w:t>
      </w:r>
      <w:r>
        <w:t xml:space="preserve"> pregnancy and parental leave. These laws were originally passed or modified under WESA. </w:t>
      </w:r>
      <w:r w:rsidRPr="00DC54B1">
        <w:t>Grant work will highlight 2023 statutory changes to WESA that broadened employee rights and employer requirements.</w:t>
      </w:r>
      <w:r>
        <w:t xml:space="preserve"> </w:t>
      </w:r>
    </w:p>
    <w:p w14:paraId="77245620" w14:textId="1462EB99" w:rsidR="00752896" w:rsidRDefault="000962ED" w:rsidP="004749FD">
      <w:pPr>
        <w:spacing w:before="120" w:after="0"/>
      </w:pPr>
      <w:r>
        <w:t>In addition, grant</w:t>
      </w:r>
      <w:r w:rsidR="00AA7D6E">
        <w:t xml:space="preserve"> work </w:t>
      </w:r>
      <w:r w:rsidR="00242FF1">
        <w:t>will</w:t>
      </w:r>
      <w:r w:rsidR="00AA7D6E">
        <w:t xml:space="preserve"> include education on the </w:t>
      </w:r>
      <w:r w:rsidR="0094516E">
        <w:t xml:space="preserve">PFML </w:t>
      </w:r>
      <w:r w:rsidR="00AA7D6E">
        <w:t>law</w:t>
      </w:r>
      <w:r w:rsidR="002D366E">
        <w:t>, which</w:t>
      </w:r>
      <w:r w:rsidR="00AA7D6E">
        <w:t xml:space="preserve"> goes into effect Jan</w:t>
      </w:r>
      <w:r w:rsidR="004E72F4">
        <w:t>.</w:t>
      </w:r>
      <w:r w:rsidR="00AA7D6E">
        <w:t xml:space="preserve"> 1, 202</w:t>
      </w:r>
      <w:r w:rsidR="005A6E11">
        <w:t>6</w:t>
      </w:r>
      <w:r w:rsidR="002D366E">
        <w:t>, that</w:t>
      </w:r>
      <w:r w:rsidR="00DD17DC" w:rsidRPr="00DD17DC">
        <w:t xml:space="preserve"> provides paid time off when a serious health condition prevents </w:t>
      </w:r>
      <w:r w:rsidR="796CBD47">
        <w:t>Minnesotans</w:t>
      </w:r>
      <w:r w:rsidR="00DD17DC" w:rsidRPr="00DD17DC">
        <w:t xml:space="preserve"> from working, when </w:t>
      </w:r>
      <w:r w:rsidR="1A32FCE8">
        <w:t>they</w:t>
      </w:r>
      <w:r w:rsidR="00DD17DC" w:rsidRPr="00DD17DC">
        <w:t xml:space="preserve"> need time to care for a family member or a new child, for certain military-related events or for certain personal safety issues.</w:t>
      </w:r>
      <w:r w:rsidR="00880470">
        <w:t xml:space="preserve"> </w:t>
      </w:r>
    </w:p>
    <w:p w14:paraId="705DC47D" w14:textId="2FC909AE" w:rsidR="005238CC" w:rsidRDefault="505EF494" w:rsidP="005238CC">
      <w:pPr>
        <w:spacing w:before="120" w:after="0"/>
      </w:pPr>
      <w:r>
        <w:t xml:space="preserve">Detailed information about </w:t>
      </w:r>
      <w:r w:rsidR="6D5AC4D0">
        <w:t>WESA and PF</w:t>
      </w:r>
      <w:r w:rsidR="65812834">
        <w:t>M</w:t>
      </w:r>
      <w:r w:rsidR="6D5AC4D0">
        <w:t xml:space="preserve">L </w:t>
      </w:r>
      <w:r>
        <w:t xml:space="preserve">can be found at </w:t>
      </w:r>
      <w:hyperlink r:id="rId11">
        <w:r w:rsidR="655C4E6D" w:rsidRPr="283126A8">
          <w:rPr>
            <w:rStyle w:val="Hyperlink"/>
          </w:rPr>
          <w:t>dli.mn.gov/newparents</w:t>
        </w:r>
      </w:hyperlink>
      <w:r w:rsidR="4F6C4F21" w:rsidRPr="283126A8">
        <w:rPr>
          <w:rStyle w:val="Hyperlink"/>
        </w:rPr>
        <w:t xml:space="preserve"> </w:t>
      </w:r>
      <w:r w:rsidR="4095A220" w:rsidRPr="283126A8">
        <w:rPr>
          <w:rStyle w:val="Hyperlink"/>
          <w:color w:val="auto"/>
          <w:u w:val="none"/>
        </w:rPr>
        <w:t>and</w:t>
      </w:r>
      <w:r w:rsidR="13320C44" w:rsidRPr="283126A8">
        <w:rPr>
          <w:rStyle w:val="Hyperlink"/>
        </w:rPr>
        <w:t xml:space="preserve"> </w:t>
      </w:r>
      <w:hyperlink r:id="rId12">
        <w:r w:rsidR="13320C44" w:rsidRPr="283126A8">
          <w:rPr>
            <w:rStyle w:val="Hyperlink"/>
          </w:rPr>
          <w:t>mn.gov/deed/programs-services/paid-family</w:t>
        </w:r>
      </w:hyperlink>
      <w:r w:rsidR="13320C44">
        <w:t>.</w:t>
      </w:r>
    </w:p>
    <w:p w14:paraId="7283BFEB" w14:textId="6CA2AA98" w:rsidR="0067142A" w:rsidRDefault="0067142A" w:rsidP="0067142A">
      <w:pPr>
        <w:pStyle w:val="Heading3"/>
      </w:pPr>
      <w:r>
        <w:t>Focus populations</w:t>
      </w:r>
    </w:p>
    <w:p w14:paraId="055C7740" w14:textId="6D31D29F" w:rsidR="00D72FAC" w:rsidRDefault="00D72FAC" w:rsidP="00D72FAC">
      <w:pPr>
        <w:spacing w:before="120" w:after="0"/>
      </w:pPr>
      <w:r>
        <w:t xml:space="preserve">It is the policy of the </w:t>
      </w:r>
      <w:r w:rsidR="00C11812">
        <w:t>s</w:t>
      </w:r>
      <w:r>
        <w:t xml:space="preserve">tate of Minnesota to ensure fairness, precision, </w:t>
      </w:r>
      <w:r w:rsidR="00552497">
        <w:t>equity</w:t>
      </w:r>
      <w:r>
        <w:t xml:space="preserve"> and consistency in competitive grant awards. This includes implementing diversity and inclusion in grantmaking.  </w:t>
      </w:r>
    </w:p>
    <w:p w14:paraId="595AD239" w14:textId="2B6A0B9C" w:rsidR="00364DB9" w:rsidRDefault="00D72FAC" w:rsidP="00D72FAC">
      <w:pPr>
        <w:spacing w:before="120" w:after="0"/>
      </w:pPr>
      <w:r>
        <w:t xml:space="preserve">Policy 08-02 establishes the expectation that grant programs intentionally identify how the grant serves diverse populations, especially populations experiencing inequities and disparities.  </w:t>
      </w:r>
    </w:p>
    <w:p w14:paraId="368F2179" w14:textId="2C3F0062" w:rsidR="001368A3" w:rsidRDefault="00837B06" w:rsidP="00D72FAC">
      <w:pPr>
        <w:spacing w:before="120" w:after="0"/>
      </w:pPr>
      <w:r>
        <w:t xml:space="preserve">This grant seeks to reach, but is not limited </w:t>
      </w:r>
      <w:r w:rsidR="001368A3">
        <w:t>to:</w:t>
      </w:r>
      <w:r>
        <w:t xml:space="preserve"> </w:t>
      </w:r>
    </w:p>
    <w:p w14:paraId="1C1159ED" w14:textId="39C8FF9F" w:rsidR="00593D07" w:rsidRDefault="00317427" w:rsidP="00593D07">
      <w:pPr>
        <w:pStyle w:val="ListParagraph"/>
        <w:numPr>
          <w:ilvl w:val="0"/>
          <w:numId w:val="38"/>
        </w:numPr>
        <w:spacing w:before="120" w:after="0"/>
      </w:pPr>
      <w:r>
        <w:t>p</w:t>
      </w:r>
      <w:r w:rsidR="00593D07">
        <w:t>regnant</w:t>
      </w:r>
      <w:r>
        <w:t xml:space="preserve"> workers</w:t>
      </w:r>
      <w:r w:rsidR="00593D07">
        <w:t xml:space="preserve"> and new parent</w:t>
      </w:r>
      <w:r>
        <w:t>s</w:t>
      </w:r>
      <w:r w:rsidR="002A63FF">
        <w:t>;</w:t>
      </w:r>
    </w:p>
    <w:p w14:paraId="5D02F289" w14:textId="4D0FC9A7" w:rsidR="004D5995" w:rsidRDefault="002A63FF" w:rsidP="00593D07">
      <w:pPr>
        <w:pStyle w:val="ListParagraph"/>
        <w:numPr>
          <w:ilvl w:val="0"/>
          <w:numId w:val="38"/>
        </w:numPr>
        <w:spacing w:before="120" w:after="0"/>
      </w:pPr>
      <w:r>
        <w:rPr>
          <w:color w:val="000000"/>
        </w:rPr>
        <w:t>p</w:t>
      </w:r>
      <w:r w:rsidR="0036305D">
        <w:rPr>
          <w:color w:val="000000"/>
        </w:rPr>
        <w:t>eople</w:t>
      </w:r>
      <w:r w:rsidR="004D5995">
        <w:rPr>
          <w:color w:val="000000"/>
        </w:rPr>
        <w:t xml:space="preserve"> from communities of color, immigrants, economically disadvantaged individuals, people with disabilities and others from historically underserved communities</w:t>
      </w:r>
      <w:r>
        <w:rPr>
          <w:color w:val="000000"/>
        </w:rPr>
        <w:t>;</w:t>
      </w:r>
    </w:p>
    <w:p w14:paraId="203D2D5F" w14:textId="1E4C1E3D" w:rsidR="00F64F5C" w:rsidRDefault="002A63FF" w:rsidP="001368A3">
      <w:pPr>
        <w:pStyle w:val="ListParagraph"/>
        <w:numPr>
          <w:ilvl w:val="0"/>
          <w:numId w:val="38"/>
        </w:numPr>
        <w:spacing w:before="120" w:after="0"/>
      </w:pPr>
      <w:r>
        <w:t xml:space="preserve">workers </w:t>
      </w:r>
      <w:r w:rsidR="00F64F5C">
        <w:t>in low wage industries, including workers whose primary language is not English</w:t>
      </w:r>
      <w:r>
        <w:t>;</w:t>
      </w:r>
      <w:r w:rsidR="005A4871">
        <w:t xml:space="preserve"> and</w:t>
      </w:r>
    </w:p>
    <w:p w14:paraId="036B7AA3" w14:textId="6930D756" w:rsidR="001368A3" w:rsidRDefault="002A63FF" w:rsidP="001368A3">
      <w:pPr>
        <w:pStyle w:val="ListParagraph"/>
        <w:numPr>
          <w:ilvl w:val="0"/>
          <w:numId w:val="38"/>
        </w:numPr>
        <w:spacing w:before="120" w:after="0"/>
      </w:pPr>
      <w:r>
        <w:t>employers</w:t>
      </w:r>
      <w:r w:rsidR="0070653F">
        <w:t>, including industries such as health</w:t>
      </w:r>
      <w:r w:rsidR="003B4F59">
        <w:t xml:space="preserve"> </w:t>
      </w:r>
      <w:r w:rsidR="0070653F">
        <w:t xml:space="preserve">care and social assistance, hospitality, construction, agriculture, </w:t>
      </w:r>
      <w:r w:rsidR="00E754DB">
        <w:t>retail</w:t>
      </w:r>
      <w:r w:rsidR="0070653F">
        <w:t xml:space="preserve"> and other service industries.</w:t>
      </w:r>
    </w:p>
    <w:p w14:paraId="442B955A" w14:textId="77777777" w:rsidR="00763823" w:rsidRPr="00EF1266" w:rsidRDefault="00763823" w:rsidP="00763823">
      <w:pPr>
        <w:pStyle w:val="Heading3"/>
      </w:pPr>
      <w:r w:rsidRPr="00EF1266">
        <w:t>Grant outcomes</w:t>
      </w:r>
      <w:r>
        <w:t xml:space="preserve"> </w:t>
      </w:r>
    </w:p>
    <w:p w14:paraId="660D6B79" w14:textId="4E733255" w:rsidR="00AD5978" w:rsidRDefault="00AD5978" w:rsidP="00AD5978">
      <w:pPr>
        <w:pStyle w:val="ListParagraph"/>
        <w:numPr>
          <w:ilvl w:val="0"/>
          <w:numId w:val="39"/>
        </w:numPr>
      </w:pPr>
      <w:r>
        <w:t xml:space="preserve">Promote the workplace rights of pregnant </w:t>
      </w:r>
      <w:r w:rsidR="00D53BA7">
        <w:t xml:space="preserve">workers’ </w:t>
      </w:r>
      <w:r>
        <w:t>and new parent</w:t>
      </w:r>
      <w:r w:rsidR="00D53BA7">
        <w:t>s</w:t>
      </w:r>
      <w:r>
        <w:t>.</w:t>
      </w:r>
    </w:p>
    <w:p w14:paraId="2BE0F313" w14:textId="087E92A0" w:rsidR="00AD5978" w:rsidRDefault="00AD5978" w:rsidP="00AD5978">
      <w:pPr>
        <w:pStyle w:val="ListParagraph"/>
        <w:numPr>
          <w:ilvl w:val="0"/>
          <w:numId w:val="39"/>
        </w:numPr>
      </w:pPr>
      <w:r>
        <w:t>Educate employers on their responsibilities under WESA</w:t>
      </w:r>
      <w:r w:rsidR="002C1F76">
        <w:t xml:space="preserve"> and PFML</w:t>
      </w:r>
      <w:r>
        <w:t xml:space="preserve">. </w:t>
      </w:r>
    </w:p>
    <w:p w14:paraId="6FD9EBE1" w14:textId="11C1DB88" w:rsidR="00AD5978" w:rsidRDefault="00AD5978" w:rsidP="00AD5978">
      <w:pPr>
        <w:pStyle w:val="ListParagraph"/>
        <w:numPr>
          <w:ilvl w:val="0"/>
          <w:numId w:val="39"/>
        </w:numPr>
      </w:pPr>
      <w:r>
        <w:t xml:space="preserve">Include a focus on reaching workers in underserved communities and low wage industries, including workers whose primary language is not English. </w:t>
      </w:r>
    </w:p>
    <w:p w14:paraId="163AF7A0" w14:textId="550FA95A" w:rsidR="00AD5978" w:rsidRDefault="00AD5978" w:rsidP="00AD5978">
      <w:pPr>
        <w:pStyle w:val="ListParagraph"/>
        <w:numPr>
          <w:ilvl w:val="0"/>
          <w:numId w:val="39"/>
        </w:numPr>
      </w:pPr>
      <w:r>
        <w:t>Increase employer compliance with WESA</w:t>
      </w:r>
      <w:r w:rsidR="002C1F76">
        <w:t xml:space="preserve"> </w:t>
      </w:r>
      <w:r w:rsidR="0004015E">
        <w:t>l</w:t>
      </w:r>
      <w:r>
        <w:t>aws overseen by DLI, including industries such as health</w:t>
      </w:r>
      <w:r w:rsidR="00967CB6">
        <w:t xml:space="preserve"> </w:t>
      </w:r>
      <w:r>
        <w:t xml:space="preserve">care and social assistance, hospitality, construction, agriculture, </w:t>
      </w:r>
      <w:r w:rsidR="00E754DB">
        <w:t>retail</w:t>
      </w:r>
      <w:r>
        <w:t xml:space="preserve"> and other service industries. </w:t>
      </w:r>
    </w:p>
    <w:p w14:paraId="6F3A635A" w14:textId="4CCC4556" w:rsidR="00AD5978" w:rsidRDefault="00AD5978" w:rsidP="00AD5978">
      <w:pPr>
        <w:pStyle w:val="ListParagraph"/>
        <w:numPr>
          <w:ilvl w:val="0"/>
          <w:numId w:val="39"/>
        </w:numPr>
      </w:pPr>
      <w:r>
        <w:t>Increase employee knowledge of WESA</w:t>
      </w:r>
      <w:r w:rsidR="002C1F76">
        <w:t xml:space="preserve"> </w:t>
      </w:r>
      <w:r w:rsidR="00E573BA">
        <w:t>and PFML</w:t>
      </w:r>
      <w:r w:rsidR="003A39BC">
        <w:t>,</w:t>
      </w:r>
      <w:r>
        <w:t xml:space="preserve"> resources and remedies available to address possible violations of these laws, including related services and resources provided by Labor Standards. </w:t>
      </w:r>
    </w:p>
    <w:p w14:paraId="2E0276AC" w14:textId="538CDDD1" w:rsidR="00AD5978" w:rsidRDefault="00AD5978" w:rsidP="00AD5978">
      <w:pPr>
        <w:pStyle w:val="ListParagraph"/>
        <w:numPr>
          <w:ilvl w:val="0"/>
          <w:numId w:val="39"/>
        </w:numPr>
      </w:pPr>
      <w:r>
        <w:t xml:space="preserve">Promote longer-term worker and infant health by increasing duration of breastfeeding, providing needed workplace accommodations to pregnant </w:t>
      </w:r>
      <w:r w:rsidR="00E754DB">
        <w:t>employees</w:t>
      </w:r>
      <w:r>
        <w:t xml:space="preserve"> and ensuring pregnancy and parenting leave from work to focus on childbirth and infant bonding.</w:t>
      </w:r>
    </w:p>
    <w:p w14:paraId="54721F11" w14:textId="77777777" w:rsidR="00DF0192" w:rsidRPr="00CA1295" w:rsidRDefault="00DF0192" w:rsidP="00DF0192">
      <w:pPr>
        <w:pStyle w:val="Heading2"/>
      </w:pPr>
      <w:r>
        <w:t xml:space="preserve">3. </w:t>
      </w:r>
      <w:r w:rsidRPr="00CA1295">
        <w:t>Grant activities</w:t>
      </w:r>
    </w:p>
    <w:p w14:paraId="1E36D6CF" w14:textId="67CE731B" w:rsidR="007031D5" w:rsidRDefault="003221A8" w:rsidP="007031D5">
      <w:r w:rsidRPr="003221A8">
        <w:t>Applicants can achieve desired</w:t>
      </w:r>
      <w:r w:rsidR="00DB51B9">
        <w:t xml:space="preserve"> </w:t>
      </w:r>
      <w:r w:rsidRPr="003221A8">
        <w:t>outcomes through a variety of activities</w:t>
      </w:r>
      <w:r w:rsidR="007031D5">
        <w:t xml:space="preserve"> including, but not limited to:</w:t>
      </w:r>
      <w:r w:rsidRPr="003221A8">
        <w:t xml:space="preserve"> </w:t>
      </w:r>
    </w:p>
    <w:p w14:paraId="1E2DC448" w14:textId="5E267224" w:rsidR="00921FC2" w:rsidRDefault="00C8598C" w:rsidP="007031D5">
      <w:pPr>
        <w:pStyle w:val="ListParagraph"/>
        <w:numPr>
          <w:ilvl w:val="0"/>
          <w:numId w:val="41"/>
        </w:numPr>
      </w:pPr>
      <w:r>
        <w:t xml:space="preserve">development and </w:t>
      </w:r>
      <w:r w:rsidR="00AE2ED7">
        <w:t>d</w:t>
      </w:r>
      <w:r w:rsidR="00921FC2">
        <w:t>istribution of written materials to employees and employers about WESA</w:t>
      </w:r>
      <w:r w:rsidR="002C1F76">
        <w:t xml:space="preserve"> and PFML</w:t>
      </w:r>
      <w:r w:rsidR="00921FC2">
        <w:t xml:space="preserve"> rights and responsibilities</w:t>
      </w:r>
      <w:r w:rsidR="00AE2ED7">
        <w:t>;</w:t>
      </w:r>
    </w:p>
    <w:p w14:paraId="070BDCEE" w14:textId="04D67498" w:rsidR="00921FC2" w:rsidRDefault="00C8598C" w:rsidP="00AD5978">
      <w:pPr>
        <w:pStyle w:val="ListParagraph"/>
        <w:numPr>
          <w:ilvl w:val="0"/>
          <w:numId w:val="40"/>
        </w:numPr>
      </w:pPr>
      <w:r>
        <w:t xml:space="preserve">development and </w:t>
      </w:r>
      <w:r w:rsidR="00AE2ED7">
        <w:t>d</w:t>
      </w:r>
      <w:r w:rsidR="00921FC2">
        <w:t xml:space="preserve">istribution of online and social </w:t>
      </w:r>
      <w:r w:rsidR="00237993">
        <w:t xml:space="preserve">media </w:t>
      </w:r>
      <w:r w:rsidR="00921FC2">
        <w:t>messaging to employees and employers about WESA</w:t>
      </w:r>
      <w:r w:rsidR="002C1F76">
        <w:t xml:space="preserve"> and PFML</w:t>
      </w:r>
      <w:r w:rsidR="00921FC2">
        <w:t xml:space="preserve"> rights and responsibilities</w:t>
      </w:r>
      <w:r w:rsidR="00AE2ED7">
        <w:t>;</w:t>
      </w:r>
    </w:p>
    <w:p w14:paraId="573BBCF4" w14:textId="7FF2D8BB" w:rsidR="00921FC2" w:rsidRDefault="00AE2ED7" w:rsidP="00AD5978">
      <w:pPr>
        <w:pStyle w:val="ListParagraph"/>
        <w:numPr>
          <w:ilvl w:val="0"/>
          <w:numId w:val="40"/>
        </w:numPr>
      </w:pPr>
      <w:r>
        <w:t>c</w:t>
      </w:r>
      <w:r w:rsidR="00921FC2">
        <w:t>onducting and participating in trainings, educational events and other types of engagement activities</w:t>
      </w:r>
      <w:r>
        <w:t>;</w:t>
      </w:r>
    </w:p>
    <w:p w14:paraId="5350E413" w14:textId="30AA60FD" w:rsidR="00921FC2" w:rsidRDefault="005A4871" w:rsidP="00AD5978">
      <w:pPr>
        <w:pStyle w:val="ListParagraph"/>
        <w:numPr>
          <w:ilvl w:val="0"/>
          <w:numId w:val="40"/>
        </w:numPr>
      </w:pPr>
      <w:r>
        <w:t>w</w:t>
      </w:r>
      <w:r w:rsidR="00921FC2">
        <w:t xml:space="preserve">orking with health care providers, childcare providers or other related industries that interact with pregnant </w:t>
      </w:r>
      <w:r w:rsidR="002F72F3">
        <w:t xml:space="preserve">workers </w:t>
      </w:r>
      <w:r w:rsidR="00921FC2">
        <w:t>and new parents to provide information about WESA</w:t>
      </w:r>
      <w:r w:rsidR="002C1F76">
        <w:t xml:space="preserve"> and PFML</w:t>
      </w:r>
      <w:r w:rsidR="00921FC2">
        <w:t xml:space="preserve"> rights and responsibilities</w:t>
      </w:r>
      <w:r w:rsidR="00F40CD9">
        <w:t>;</w:t>
      </w:r>
    </w:p>
    <w:p w14:paraId="037C468E" w14:textId="1635E883" w:rsidR="00E24933" w:rsidRDefault="00B00AF2" w:rsidP="00AD5978">
      <w:pPr>
        <w:pStyle w:val="ListParagraph"/>
        <w:numPr>
          <w:ilvl w:val="0"/>
          <w:numId w:val="40"/>
        </w:numPr>
      </w:pPr>
      <w:r>
        <w:t>distribution of DLI’s pregnant</w:t>
      </w:r>
      <w:r w:rsidR="00B7586F">
        <w:t xml:space="preserve"> workers’</w:t>
      </w:r>
      <w:r>
        <w:t xml:space="preserve"> and new parents’ right brochure</w:t>
      </w:r>
      <w:r w:rsidR="00F40CD9">
        <w:t>;</w:t>
      </w:r>
    </w:p>
    <w:p w14:paraId="620810D8" w14:textId="6E2B0655" w:rsidR="00C22B05" w:rsidRDefault="00E24933" w:rsidP="00AD5978">
      <w:pPr>
        <w:pStyle w:val="ListParagraph"/>
        <w:numPr>
          <w:ilvl w:val="0"/>
          <w:numId w:val="40"/>
        </w:numPr>
      </w:pPr>
      <w:r>
        <w:t xml:space="preserve">distribution of </w:t>
      </w:r>
      <w:r w:rsidR="000547C0">
        <w:t xml:space="preserve">the </w:t>
      </w:r>
      <w:r w:rsidR="0096213A">
        <w:t>require</w:t>
      </w:r>
      <w:r w:rsidR="009013E6">
        <w:t>d</w:t>
      </w:r>
      <w:r w:rsidR="0096213A">
        <w:t xml:space="preserve"> </w:t>
      </w:r>
      <w:r w:rsidR="00DB2B26">
        <w:t>employe</w:t>
      </w:r>
      <w:r w:rsidR="000547C0">
        <w:t>e</w:t>
      </w:r>
      <w:r w:rsidR="00DB2B26">
        <w:t xml:space="preserve"> notice of WESA rights</w:t>
      </w:r>
      <w:r>
        <w:t xml:space="preserve"> to </w:t>
      </w:r>
      <w:r w:rsidR="00240E02">
        <w:t>employers or employer organizations</w:t>
      </w:r>
      <w:r w:rsidR="00F40CD9">
        <w:t>;</w:t>
      </w:r>
    </w:p>
    <w:p w14:paraId="59E4F85F" w14:textId="039ECE03" w:rsidR="002C1F76" w:rsidRDefault="002C1F76" w:rsidP="00AD5978">
      <w:pPr>
        <w:pStyle w:val="ListParagraph"/>
        <w:numPr>
          <w:ilvl w:val="0"/>
          <w:numId w:val="40"/>
        </w:numPr>
      </w:pPr>
      <w:r>
        <w:t xml:space="preserve">distribution of PFML </w:t>
      </w:r>
      <w:r w:rsidR="000B1EF2">
        <w:t>materials</w:t>
      </w:r>
      <w:r w:rsidR="000547C0">
        <w:t>; and</w:t>
      </w:r>
    </w:p>
    <w:p w14:paraId="1324FF6F" w14:textId="6253529D" w:rsidR="00AD5978" w:rsidRDefault="000547C0" w:rsidP="00AD5978">
      <w:pPr>
        <w:pStyle w:val="ListParagraph"/>
        <w:numPr>
          <w:ilvl w:val="0"/>
          <w:numId w:val="40"/>
        </w:numPr>
      </w:pPr>
      <w:r>
        <w:t>o</w:t>
      </w:r>
      <w:r w:rsidR="00921FC2">
        <w:t>ther creative ideas to engage and inform employees, employers and the public about WESA</w:t>
      </w:r>
      <w:r w:rsidR="002C1F76">
        <w:t xml:space="preserve"> and PFML</w:t>
      </w:r>
      <w:r w:rsidR="00921FC2">
        <w:t>.</w:t>
      </w:r>
    </w:p>
    <w:p w14:paraId="00DA2F2C" w14:textId="77777777" w:rsidR="0040077F" w:rsidRDefault="0040077F" w:rsidP="0040077F">
      <w:pPr>
        <w:pStyle w:val="Heading2"/>
      </w:pPr>
      <w:r>
        <w:t>4. Eligible applicants and minimum eligibility requirements</w:t>
      </w:r>
    </w:p>
    <w:p w14:paraId="4D506521" w14:textId="77777777" w:rsidR="0040077F" w:rsidRDefault="0040077F" w:rsidP="0040077F">
      <w:pPr>
        <w:pStyle w:val="Heading3"/>
      </w:pPr>
      <w:r>
        <w:t>Eligible applicants</w:t>
      </w:r>
    </w:p>
    <w:p w14:paraId="4488C547" w14:textId="5D1C1801" w:rsidR="0030057F" w:rsidRDefault="0040077F" w:rsidP="00B646E7">
      <w:r w:rsidRPr="00ED45B1">
        <w:t xml:space="preserve">The </w:t>
      </w:r>
      <w:r w:rsidR="005A4871">
        <w:t>g</w:t>
      </w:r>
      <w:r w:rsidRPr="00ED45B1">
        <w:t xml:space="preserve">rant </w:t>
      </w:r>
      <w:r w:rsidR="005A4871">
        <w:t>p</w:t>
      </w:r>
      <w:r w:rsidRPr="00ED45B1">
        <w:t>rogram seeks proposals from</w:t>
      </w:r>
      <w:r w:rsidR="0030057F" w:rsidRPr="009647EE">
        <w:t xml:space="preserve"> nonprofit organization</w:t>
      </w:r>
      <w:r w:rsidR="00B646E7">
        <w:t>s</w:t>
      </w:r>
      <w:r w:rsidR="0030057F" w:rsidRPr="009647EE">
        <w:t>, business organization</w:t>
      </w:r>
      <w:r w:rsidR="00B646E7">
        <w:t>s</w:t>
      </w:r>
      <w:r w:rsidR="0030057F" w:rsidRPr="009647EE">
        <w:t xml:space="preserve"> or association</w:t>
      </w:r>
      <w:r w:rsidR="00B646E7">
        <w:t>s</w:t>
      </w:r>
      <w:r w:rsidR="0030057F" w:rsidRPr="009647EE">
        <w:t>, nonprofit alternative secondary institution</w:t>
      </w:r>
      <w:r w:rsidR="00B646E7">
        <w:t>s</w:t>
      </w:r>
      <w:r w:rsidR="0030057F" w:rsidRPr="009647EE">
        <w:t>, nonprofit post-secondary institution</w:t>
      </w:r>
      <w:r w:rsidR="00B646E7">
        <w:t>s</w:t>
      </w:r>
      <w:r w:rsidR="0030057F" w:rsidRPr="009647EE">
        <w:t xml:space="preserve"> and labor organization</w:t>
      </w:r>
      <w:r w:rsidR="00B646E7">
        <w:t>s</w:t>
      </w:r>
      <w:r w:rsidR="0030057F" w:rsidRPr="009647EE">
        <w:t>.</w:t>
      </w:r>
    </w:p>
    <w:p w14:paraId="1FC927FC" w14:textId="2B76BB60" w:rsidR="00303ABA" w:rsidRPr="009647EE" w:rsidRDefault="00E02353" w:rsidP="00B646E7">
      <w:r>
        <w:t xml:space="preserve">Multi-organization collaborations are not </w:t>
      </w:r>
      <w:r w:rsidR="00904791">
        <w:t>eligible</w:t>
      </w:r>
      <w:r>
        <w:t xml:space="preserve"> for this grant funding.</w:t>
      </w:r>
    </w:p>
    <w:p w14:paraId="7E3C9C3A" w14:textId="77777777" w:rsidR="00DC4F30" w:rsidRDefault="00DC4F30" w:rsidP="00DC4F30">
      <w:pPr>
        <w:pStyle w:val="Heading3"/>
      </w:pPr>
      <w:r>
        <w:t>Minimum eligibility requirements</w:t>
      </w:r>
    </w:p>
    <w:p w14:paraId="5FB1394B" w14:textId="0BD88CAF" w:rsidR="00122DC1" w:rsidRDefault="00122DC1" w:rsidP="00122DC1">
      <w:pPr>
        <w:spacing w:before="120" w:after="0"/>
      </w:pPr>
      <w:r>
        <w:t>Applicants must meet the minimum requirements below to be considered for an award of funding. If an application does not fully meet these requirements</w:t>
      </w:r>
      <w:r w:rsidR="002B3B5D">
        <w:t>,</w:t>
      </w:r>
      <w:r>
        <w:t xml:space="preserve"> it will not be further reviewed. </w:t>
      </w:r>
    </w:p>
    <w:p w14:paraId="2CEFDD0F" w14:textId="7E1E5336" w:rsidR="00122DC1" w:rsidRPr="00AF1B91" w:rsidRDefault="00122DC1" w:rsidP="00122DC1">
      <w:pPr>
        <w:spacing w:before="120" w:after="0"/>
        <w:rPr>
          <w:color w:val="C00000"/>
        </w:rPr>
      </w:pPr>
      <w:r>
        <w:t>To be eligible for funding, applicants must</w:t>
      </w:r>
      <w:r w:rsidR="004C0B12">
        <w:t xml:space="preserve"> meet the listed criteria</w:t>
      </w:r>
      <w:r>
        <w:t>:</w:t>
      </w:r>
    </w:p>
    <w:p w14:paraId="4C43CBB7" w14:textId="34F452CD" w:rsidR="007E0CF2" w:rsidRPr="00762967" w:rsidRDefault="00982203" w:rsidP="001D37B8">
      <w:pPr>
        <w:pStyle w:val="ListParagraph"/>
        <w:numPr>
          <w:ilvl w:val="0"/>
          <w:numId w:val="36"/>
        </w:numPr>
        <w:spacing w:before="120" w:after="0"/>
      </w:pPr>
      <w:r>
        <w:t>M</w:t>
      </w:r>
      <w:r w:rsidR="007E0CF2" w:rsidRPr="00762967">
        <w:t xml:space="preserve">eet the application </w:t>
      </w:r>
      <w:r w:rsidR="004A20C7" w:rsidRPr="00762967">
        <w:t>deadline</w:t>
      </w:r>
      <w:r>
        <w:t>.</w:t>
      </w:r>
    </w:p>
    <w:p w14:paraId="5FEB192D" w14:textId="5A3A63B6" w:rsidR="007E0CF2" w:rsidRPr="00762967" w:rsidRDefault="00982203" w:rsidP="001D37B8">
      <w:pPr>
        <w:pStyle w:val="ListParagraph"/>
        <w:numPr>
          <w:ilvl w:val="0"/>
          <w:numId w:val="36"/>
        </w:numPr>
        <w:spacing w:before="120" w:after="0"/>
      </w:pPr>
      <w:r>
        <w:t>S</w:t>
      </w:r>
      <w:r w:rsidR="007E0CF2" w:rsidRPr="00762967">
        <w:t xml:space="preserve">erve the focus populations listed for this </w:t>
      </w:r>
      <w:r w:rsidR="00EC1CFB">
        <w:t>g</w:t>
      </w:r>
      <w:r w:rsidR="00EC1CFB" w:rsidRPr="00762967">
        <w:t xml:space="preserve">rant </w:t>
      </w:r>
      <w:r w:rsidR="00EC1CFB">
        <w:t>p</w:t>
      </w:r>
      <w:r w:rsidR="007E0CF2" w:rsidRPr="00762967">
        <w:t>rogram</w:t>
      </w:r>
      <w:r>
        <w:t>.</w:t>
      </w:r>
    </w:p>
    <w:p w14:paraId="5931AA30" w14:textId="5B2E5E3B" w:rsidR="007E0CF2" w:rsidRPr="00762967" w:rsidRDefault="00982203" w:rsidP="001D37B8">
      <w:pPr>
        <w:pStyle w:val="ListParagraph"/>
        <w:numPr>
          <w:ilvl w:val="0"/>
          <w:numId w:val="36"/>
        </w:numPr>
        <w:spacing w:before="120" w:after="0"/>
      </w:pPr>
      <w:r>
        <w:t>B</w:t>
      </w:r>
      <w:r w:rsidR="007E0CF2" w:rsidRPr="00762967">
        <w:t>e an eligible applicant</w:t>
      </w:r>
      <w:r>
        <w:t>.</w:t>
      </w:r>
    </w:p>
    <w:p w14:paraId="13DCEA97" w14:textId="7FBB1CD2" w:rsidR="00414C2A" w:rsidRDefault="00441910" w:rsidP="00414C2A">
      <w:pPr>
        <w:pStyle w:val="Heading2"/>
      </w:pPr>
      <w:r>
        <w:t>5</w:t>
      </w:r>
      <w:r w:rsidR="00414C2A">
        <w:t xml:space="preserve">. </w:t>
      </w:r>
      <w:r w:rsidR="002A1113">
        <w:t>Funding availability</w:t>
      </w:r>
    </w:p>
    <w:p w14:paraId="7D0A07A2" w14:textId="19FA4CE7" w:rsidR="00414C2A" w:rsidRPr="00B9518B" w:rsidRDefault="00414C2A" w:rsidP="004B3396">
      <w:pPr>
        <w:pStyle w:val="ListParagraph"/>
      </w:pPr>
      <w:r w:rsidRPr="00B9518B">
        <w:t xml:space="preserve">Total funds allocated for this grant: </w:t>
      </w:r>
      <w:r w:rsidR="002B3B5D" w:rsidRPr="00B9518B">
        <w:t xml:space="preserve"> </w:t>
      </w:r>
      <w:r w:rsidRPr="00B9518B">
        <w:t>$</w:t>
      </w:r>
      <w:r w:rsidR="009D216B" w:rsidRPr="00B9518B">
        <w:t>150,000.</w:t>
      </w:r>
    </w:p>
    <w:p w14:paraId="23792A75" w14:textId="0F7EA5AC" w:rsidR="00611034" w:rsidRPr="00B9518B" w:rsidRDefault="007378C1" w:rsidP="004B3396">
      <w:pPr>
        <w:pStyle w:val="ListParagraph"/>
      </w:pPr>
      <w:r w:rsidRPr="00B9518B">
        <w:t>DLI plans to award</w:t>
      </w:r>
      <w:r w:rsidR="000D23AF" w:rsidRPr="00B9518B">
        <w:t xml:space="preserve"> funding to</w:t>
      </w:r>
      <w:r w:rsidRPr="00B9518B">
        <w:t xml:space="preserve"> </w:t>
      </w:r>
      <w:r w:rsidR="004A242C" w:rsidRPr="00B9518B">
        <w:t xml:space="preserve">three </w:t>
      </w:r>
      <w:r w:rsidR="00A31ECF" w:rsidRPr="00B9518B">
        <w:t>to six</w:t>
      </w:r>
      <w:r w:rsidR="000D23AF" w:rsidRPr="00B9518B">
        <w:t xml:space="preserve"> applicants</w:t>
      </w:r>
      <w:r w:rsidR="00A31ECF" w:rsidRPr="00B9518B">
        <w:t>.</w:t>
      </w:r>
    </w:p>
    <w:p w14:paraId="20EEE457" w14:textId="169B0723" w:rsidR="009B4945" w:rsidRPr="00C855AE" w:rsidRDefault="00441910" w:rsidP="004B3396">
      <w:pPr>
        <w:pStyle w:val="Heading2"/>
      </w:pPr>
      <w:r>
        <w:t>6</w:t>
      </w:r>
      <w:r w:rsidR="00102064">
        <w:t>. E</w:t>
      </w:r>
      <w:r w:rsidR="00102064" w:rsidRPr="00102064">
        <w:t>ligible and ineligible expenses</w:t>
      </w:r>
      <w:r w:rsidR="00C855AE">
        <w:t xml:space="preserve"> </w:t>
      </w:r>
    </w:p>
    <w:p w14:paraId="7321650D" w14:textId="2E52CBE9" w:rsidR="00F0356B" w:rsidRPr="004B3396" w:rsidRDefault="00460539" w:rsidP="004B3396">
      <w:pPr>
        <w:pStyle w:val="NoSpacing"/>
        <w:spacing w:line="276" w:lineRule="auto"/>
        <w:rPr>
          <w:rFonts w:cs="Times New Roman"/>
        </w:rPr>
      </w:pPr>
      <w:r w:rsidRPr="009906FE">
        <w:rPr>
          <w:rFonts w:cs="Times New Roman"/>
        </w:rPr>
        <w:t>Eligible expenses include but may not be limited to:</w:t>
      </w:r>
    </w:p>
    <w:tbl>
      <w:tblPr>
        <w:tblW w:w="8970" w:type="dxa"/>
        <w:tblInd w:w="712" w:type="dxa"/>
        <w:tblBorders>
          <w:top w:val="outset" w:sz="6" w:space="0" w:color="auto"/>
          <w:left w:val="outset" w:sz="6" w:space="0" w:color="auto"/>
          <w:bottom w:val="outset" w:sz="6" w:space="0" w:color="auto"/>
          <w:right w:val="outset" w:sz="6" w:space="0" w:color="auto"/>
        </w:tblBorders>
        <w:tblCellMar>
          <w:left w:w="43" w:type="dxa"/>
          <w:right w:w="0" w:type="dxa"/>
        </w:tblCellMar>
        <w:tblLook w:val="04A0" w:firstRow="1" w:lastRow="0" w:firstColumn="1" w:lastColumn="0" w:noHBand="0" w:noVBand="1"/>
      </w:tblPr>
      <w:tblGrid>
        <w:gridCol w:w="2490"/>
        <w:gridCol w:w="6480"/>
      </w:tblGrid>
      <w:tr w:rsidR="00975553" w:rsidRPr="000836DE" w14:paraId="38B3A293" w14:textId="77777777" w:rsidTr="7267031C">
        <w:trPr>
          <w:trHeight w:val="360"/>
        </w:trPr>
        <w:tc>
          <w:tcPr>
            <w:tcW w:w="249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hideMark/>
          </w:tcPr>
          <w:p w14:paraId="473D4EB2" w14:textId="77777777" w:rsidR="00975553" w:rsidRPr="000836DE" w:rsidRDefault="00975553" w:rsidP="00BB3750">
            <w:pPr>
              <w:spacing w:after="0" w:line="240" w:lineRule="auto"/>
              <w:textAlignment w:val="baseline"/>
              <w:rPr>
                <w:rFonts w:ascii="Segoe UI" w:hAnsi="Segoe UI" w:cs="Segoe UI"/>
                <w:sz w:val="18"/>
                <w:szCs w:val="18"/>
              </w:rPr>
            </w:pPr>
            <w:r w:rsidRPr="000836DE">
              <w:rPr>
                <w:rFonts w:cs="Calibri"/>
                <w:b/>
                <w:bCs/>
              </w:rPr>
              <w:t>Budget categories</w:t>
            </w:r>
            <w:r w:rsidRPr="000836DE">
              <w:rPr>
                <w:rFonts w:cs="Calibri"/>
              </w:rPr>
              <w:t> </w:t>
            </w:r>
          </w:p>
        </w:tc>
        <w:tc>
          <w:tcPr>
            <w:tcW w:w="648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hideMark/>
          </w:tcPr>
          <w:p w14:paraId="1600D337" w14:textId="1996E577" w:rsidR="00975553" w:rsidRPr="000836DE" w:rsidRDefault="00975553" w:rsidP="00BB3750">
            <w:pPr>
              <w:spacing w:after="0" w:line="240" w:lineRule="auto"/>
              <w:textAlignment w:val="baseline"/>
              <w:rPr>
                <w:rFonts w:ascii="Segoe UI" w:hAnsi="Segoe UI" w:cs="Segoe UI"/>
                <w:sz w:val="18"/>
                <w:szCs w:val="18"/>
              </w:rPr>
            </w:pPr>
            <w:r w:rsidRPr="000836DE">
              <w:rPr>
                <w:rFonts w:cs="Calibri"/>
                <w:b/>
                <w:bCs/>
              </w:rPr>
              <w:t xml:space="preserve">Examples of </w:t>
            </w:r>
            <w:r w:rsidR="004D6140">
              <w:rPr>
                <w:rFonts w:cs="Calibri"/>
                <w:b/>
                <w:bCs/>
              </w:rPr>
              <w:t>a</w:t>
            </w:r>
            <w:r w:rsidRPr="000836DE">
              <w:rPr>
                <w:rFonts w:cs="Calibri"/>
                <w:b/>
                <w:bCs/>
              </w:rPr>
              <w:t xml:space="preserve">llowable </w:t>
            </w:r>
            <w:r w:rsidR="004D6140">
              <w:rPr>
                <w:rFonts w:cs="Calibri"/>
                <w:b/>
                <w:bCs/>
              </w:rPr>
              <w:t>e</w:t>
            </w:r>
            <w:r w:rsidRPr="000836DE">
              <w:rPr>
                <w:rFonts w:cs="Calibri"/>
                <w:b/>
                <w:bCs/>
              </w:rPr>
              <w:t>xpenditures</w:t>
            </w:r>
            <w:r w:rsidRPr="000836DE">
              <w:rPr>
                <w:rFonts w:cs="Calibri"/>
              </w:rPr>
              <w:t> </w:t>
            </w:r>
          </w:p>
        </w:tc>
      </w:tr>
      <w:tr w:rsidR="00975553" w:rsidRPr="000836DE" w14:paraId="2277E943" w14:textId="77777777" w:rsidTr="7267031C">
        <w:trPr>
          <w:trHeight w:val="345"/>
        </w:trPr>
        <w:tc>
          <w:tcPr>
            <w:tcW w:w="249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hideMark/>
          </w:tcPr>
          <w:p w14:paraId="5E70A0B7" w14:textId="77777777" w:rsidR="00975553" w:rsidRPr="009906FE" w:rsidRDefault="00975553" w:rsidP="00BB3750">
            <w:pPr>
              <w:spacing w:after="0" w:line="240" w:lineRule="auto"/>
              <w:textAlignment w:val="baseline"/>
              <w:rPr>
                <w:rFonts w:ascii="Segoe UI" w:hAnsi="Segoe UI" w:cs="Segoe UI"/>
                <w:sz w:val="18"/>
                <w:szCs w:val="18"/>
              </w:rPr>
            </w:pPr>
            <w:r w:rsidRPr="009906FE">
              <w:rPr>
                <w:rFonts w:cs="Calibri"/>
              </w:rPr>
              <w:t>Personnel </w:t>
            </w:r>
          </w:p>
        </w:tc>
        <w:tc>
          <w:tcPr>
            <w:tcW w:w="648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hideMark/>
          </w:tcPr>
          <w:p w14:paraId="21D278FB" w14:textId="1BEBC3E4" w:rsidR="00975553" w:rsidRPr="009906FE" w:rsidRDefault="00975553" w:rsidP="00BB3750">
            <w:pPr>
              <w:spacing w:after="0" w:line="240" w:lineRule="auto"/>
              <w:textAlignment w:val="baseline"/>
              <w:rPr>
                <w:rFonts w:ascii="Segoe UI" w:hAnsi="Segoe UI" w:cs="Segoe UI"/>
                <w:sz w:val="18"/>
                <w:szCs w:val="18"/>
              </w:rPr>
            </w:pPr>
            <w:r w:rsidRPr="009906FE">
              <w:rPr>
                <w:rFonts w:cs="Calibri"/>
              </w:rPr>
              <w:t xml:space="preserve">Employee wages and benefits directly related to </w:t>
            </w:r>
            <w:r w:rsidR="00BB28CB" w:rsidRPr="009906FE">
              <w:rPr>
                <w:rFonts w:cs="Calibri"/>
              </w:rPr>
              <w:t>g</w:t>
            </w:r>
            <w:r w:rsidRPr="009906FE">
              <w:rPr>
                <w:rFonts w:cs="Calibri"/>
              </w:rPr>
              <w:t xml:space="preserve">rant program activities. </w:t>
            </w:r>
            <w:r w:rsidR="00EB0661">
              <w:rPr>
                <w:rFonts w:cs="Calibri"/>
              </w:rPr>
              <w:t xml:space="preserve">(For each person provide: </w:t>
            </w:r>
            <w:r w:rsidR="004D6140">
              <w:rPr>
                <w:rFonts w:cs="Calibri"/>
              </w:rPr>
              <w:t xml:space="preserve"> </w:t>
            </w:r>
            <w:r w:rsidR="003E45F9">
              <w:rPr>
                <w:rFonts w:cs="Calibri"/>
              </w:rPr>
              <w:t>N</w:t>
            </w:r>
            <w:r w:rsidR="00EB0661">
              <w:rPr>
                <w:rFonts w:cs="Calibri"/>
              </w:rPr>
              <w:t>ame or role, hourly rate + est</w:t>
            </w:r>
            <w:r w:rsidR="004D6140">
              <w:rPr>
                <w:rFonts w:cs="Calibri"/>
              </w:rPr>
              <w:t xml:space="preserve">imated </w:t>
            </w:r>
            <w:r w:rsidR="00EB0661">
              <w:rPr>
                <w:rFonts w:cs="Calibri"/>
              </w:rPr>
              <w:t xml:space="preserve">hourly benefits = total personnel </w:t>
            </w:r>
            <w:r w:rsidR="003E45F9">
              <w:rPr>
                <w:rFonts w:cs="Calibri"/>
              </w:rPr>
              <w:t>x</w:t>
            </w:r>
            <w:r w:rsidR="00EB0661">
              <w:rPr>
                <w:rFonts w:cs="Calibri"/>
              </w:rPr>
              <w:t xml:space="preserve"> number of hours on grant = per person total.)</w:t>
            </w:r>
          </w:p>
        </w:tc>
      </w:tr>
      <w:tr w:rsidR="00C855AE" w:rsidRPr="000836DE" w14:paraId="75E64F1F" w14:textId="77777777" w:rsidTr="7267031C">
        <w:trPr>
          <w:trHeight w:val="345"/>
        </w:trPr>
        <w:tc>
          <w:tcPr>
            <w:tcW w:w="249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tcPr>
          <w:p w14:paraId="6330D0B2" w14:textId="42D9EE31" w:rsidR="00C855AE" w:rsidRPr="009906FE" w:rsidRDefault="00C855AE" w:rsidP="00BB3750">
            <w:pPr>
              <w:spacing w:after="0" w:line="240" w:lineRule="auto"/>
              <w:textAlignment w:val="baseline"/>
              <w:rPr>
                <w:rFonts w:cs="Calibri"/>
              </w:rPr>
            </w:pPr>
            <w:r w:rsidRPr="009906FE">
              <w:rPr>
                <w:rFonts w:cs="Calibri"/>
              </w:rPr>
              <w:t>T</w:t>
            </w:r>
            <w:r w:rsidRPr="009906FE">
              <w:t>ravel</w:t>
            </w:r>
          </w:p>
        </w:tc>
        <w:tc>
          <w:tcPr>
            <w:tcW w:w="648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tcPr>
          <w:p w14:paraId="62C33572" w14:textId="2A8743FA" w:rsidR="00C855AE" w:rsidRPr="009906FE" w:rsidRDefault="00C855AE" w:rsidP="00BB3750">
            <w:pPr>
              <w:spacing w:after="0" w:line="240" w:lineRule="auto"/>
              <w:textAlignment w:val="baseline"/>
              <w:rPr>
                <w:rFonts w:cs="Calibri"/>
              </w:rPr>
            </w:pPr>
            <w:r w:rsidRPr="009906FE">
              <w:rPr>
                <w:rFonts w:cs="Calibri"/>
              </w:rPr>
              <w:t>G</w:t>
            </w:r>
            <w:r w:rsidRPr="009906FE">
              <w:t xml:space="preserve">rant </w:t>
            </w:r>
            <w:r w:rsidR="002F4113">
              <w:t>program</w:t>
            </w:r>
            <w:r w:rsidRPr="009906FE">
              <w:t xml:space="preserve"> related staff travel expenses</w:t>
            </w:r>
            <w:r w:rsidR="00196F09">
              <w:t>.</w:t>
            </w:r>
            <w:r w:rsidR="00E93FC3">
              <w:t xml:space="preserve"> Use current federal rate for calculations.</w:t>
            </w:r>
          </w:p>
        </w:tc>
      </w:tr>
      <w:tr w:rsidR="0084008E" w:rsidRPr="000836DE" w14:paraId="7E08F885" w14:textId="77777777" w:rsidTr="7267031C">
        <w:trPr>
          <w:trHeight w:val="345"/>
        </w:trPr>
        <w:tc>
          <w:tcPr>
            <w:tcW w:w="249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tcPr>
          <w:p w14:paraId="065EEC43" w14:textId="212C1835" w:rsidR="0084008E" w:rsidRPr="009906FE" w:rsidRDefault="00360BD0" w:rsidP="00BB3750">
            <w:pPr>
              <w:spacing w:after="0" w:line="240" w:lineRule="auto"/>
              <w:textAlignment w:val="baseline"/>
              <w:rPr>
                <w:rFonts w:cs="Calibri"/>
              </w:rPr>
            </w:pPr>
            <w:r w:rsidRPr="00D4505B">
              <w:t xml:space="preserve">Supplies and materials </w:t>
            </w:r>
          </w:p>
        </w:tc>
        <w:tc>
          <w:tcPr>
            <w:tcW w:w="648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tcPr>
          <w:p w14:paraId="029A8C67" w14:textId="02E208EC" w:rsidR="0084008E" w:rsidRPr="009906FE" w:rsidRDefault="00360BD0" w:rsidP="00BB3750">
            <w:pPr>
              <w:spacing w:after="0" w:line="240" w:lineRule="auto"/>
              <w:textAlignment w:val="baseline"/>
              <w:rPr>
                <w:rFonts w:cs="Calibri"/>
              </w:rPr>
            </w:pPr>
            <w:r w:rsidRPr="00D4505B">
              <w:t>Training materials and supplies directly supporting the grant program</w:t>
            </w:r>
            <w:r w:rsidR="00E93FC3">
              <w:t>.</w:t>
            </w:r>
          </w:p>
        </w:tc>
      </w:tr>
      <w:tr w:rsidR="6B58382D" w14:paraId="0A4F8424" w14:textId="77777777" w:rsidTr="6B58382D">
        <w:trPr>
          <w:trHeight w:val="345"/>
        </w:trPr>
        <w:tc>
          <w:tcPr>
            <w:tcW w:w="249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tcPr>
          <w:p w14:paraId="44884A84" w14:textId="2E028180" w:rsidR="6B58382D" w:rsidRDefault="4765C5AB" w:rsidP="6B58382D">
            <w:pPr>
              <w:spacing w:line="240" w:lineRule="auto"/>
            </w:pPr>
            <w:r>
              <w:t>Communications and outreach</w:t>
            </w:r>
          </w:p>
        </w:tc>
        <w:tc>
          <w:tcPr>
            <w:tcW w:w="648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tcPr>
          <w:p w14:paraId="16853A40" w14:textId="2A119D35" w:rsidR="6B58382D" w:rsidRDefault="4765C5AB" w:rsidP="00EC0334">
            <w:pPr>
              <w:spacing w:line="240" w:lineRule="auto"/>
              <w:rPr>
                <w:rFonts w:eastAsia="Calibri" w:cs="Calibri"/>
              </w:rPr>
            </w:pPr>
            <w:r w:rsidRPr="6DC05CAA">
              <w:rPr>
                <w:rFonts w:eastAsia="Calibri" w:cs="Calibri"/>
              </w:rPr>
              <w:t>Expenses related to media and community and partner outreach.</w:t>
            </w:r>
          </w:p>
        </w:tc>
      </w:tr>
      <w:tr w:rsidR="00975553" w:rsidRPr="000836DE" w14:paraId="3A613D6A" w14:textId="77777777" w:rsidTr="7267031C">
        <w:trPr>
          <w:trHeight w:val="345"/>
        </w:trPr>
        <w:tc>
          <w:tcPr>
            <w:tcW w:w="249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hideMark/>
          </w:tcPr>
          <w:p w14:paraId="50504F5D" w14:textId="6B28C82D" w:rsidR="00975553" w:rsidRPr="009906FE" w:rsidRDefault="00975553" w:rsidP="00BB3750">
            <w:pPr>
              <w:spacing w:after="0" w:line="240" w:lineRule="auto"/>
              <w:textAlignment w:val="baseline"/>
              <w:rPr>
                <w:rFonts w:ascii="Segoe UI" w:hAnsi="Segoe UI" w:cs="Segoe UI"/>
                <w:sz w:val="18"/>
                <w:szCs w:val="18"/>
              </w:rPr>
            </w:pPr>
            <w:r w:rsidRPr="009906FE">
              <w:rPr>
                <w:rFonts w:cs="Calibri"/>
              </w:rPr>
              <w:t xml:space="preserve">Contract </w:t>
            </w:r>
            <w:r w:rsidR="00083542" w:rsidRPr="009906FE">
              <w:rPr>
                <w:rFonts w:cs="Calibri"/>
              </w:rPr>
              <w:t>s</w:t>
            </w:r>
            <w:r w:rsidRPr="009906FE">
              <w:rPr>
                <w:rFonts w:cs="Calibri"/>
              </w:rPr>
              <w:t>ervices </w:t>
            </w:r>
          </w:p>
        </w:tc>
        <w:tc>
          <w:tcPr>
            <w:tcW w:w="648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hideMark/>
          </w:tcPr>
          <w:p w14:paraId="34018BE9" w14:textId="3EC6D539" w:rsidR="00975553" w:rsidRPr="009906FE" w:rsidRDefault="00975553" w:rsidP="00BB3750">
            <w:pPr>
              <w:spacing w:after="0" w:line="240" w:lineRule="auto"/>
              <w:textAlignment w:val="baseline"/>
              <w:rPr>
                <w:rFonts w:ascii="Segoe UI" w:hAnsi="Segoe UI" w:cs="Segoe UI"/>
                <w:sz w:val="18"/>
                <w:szCs w:val="18"/>
              </w:rPr>
            </w:pPr>
            <w:r w:rsidRPr="009906FE">
              <w:rPr>
                <w:rFonts w:cs="Calibri"/>
              </w:rPr>
              <w:t>Vendor services necessary to provide grant program activities and services. </w:t>
            </w:r>
            <w:r w:rsidR="00DC28FB">
              <w:rPr>
                <w:rFonts w:cs="Calibri"/>
              </w:rPr>
              <w:t>This could include, for example, marketing vendors or payments to contracted project partners.</w:t>
            </w:r>
            <w:r w:rsidR="00BA398E">
              <w:rPr>
                <w:rFonts w:cs="Calibri"/>
              </w:rPr>
              <w:t xml:space="preserve"> List contractor name and anticipated service.</w:t>
            </w:r>
          </w:p>
        </w:tc>
      </w:tr>
      <w:tr w:rsidR="00D30007" w:rsidRPr="000836DE" w14:paraId="5ADB0C99" w14:textId="77777777" w:rsidTr="7267031C">
        <w:trPr>
          <w:trHeight w:val="300"/>
        </w:trPr>
        <w:tc>
          <w:tcPr>
            <w:tcW w:w="249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hideMark/>
          </w:tcPr>
          <w:p w14:paraId="3F7DE832" w14:textId="606B7933" w:rsidR="00D30007" w:rsidRPr="009906FE" w:rsidRDefault="00D30007" w:rsidP="00D30007">
            <w:pPr>
              <w:spacing w:after="0" w:line="240" w:lineRule="auto"/>
              <w:textAlignment w:val="baseline"/>
              <w:rPr>
                <w:rFonts w:ascii="Segoe UI" w:hAnsi="Segoe UI" w:cs="Segoe UI"/>
                <w:sz w:val="18"/>
                <w:szCs w:val="18"/>
              </w:rPr>
            </w:pPr>
            <w:r w:rsidRPr="009906FE">
              <w:t xml:space="preserve">Administrative </w:t>
            </w:r>
            <w:r w:rsidR="00083542" w:rsidRPr="009906FE">
              <w:t>c</w:t>
            </w:r>
            <w:r w:rsidRPr="009906FE">
              <w:t xml:space="preserve">osts </w:t>
            </w:r>
          </w:p>
        </w:tc>
        <w:tc>
          <w:tcPr>
            <w:tcW w:w="648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tcPr>
          <w:p w14:paraId="5C419417" w14:textId="61FB2C93" w:rsidR="00BE2226" w:rsidRPr="009906FE" w:rsidRDefault="00BE2226" w:rsidP="00614896">
            <w:pPr>
              <w:spacing w:after="0" w:line="240" w:lineRule="auto"/>
              <w:textAlignment w:val="baseline"/>
              <w:rPr>
                <w:rFonts w:ascii="Segoe UI" w:hAnsi="Segoe UI" w:cs="Segoe UI"/>
                <w:sz w:val="18"/>
                <w:szCs w:val="18"/>
              </w:rPr>
            </w:pPr>
            <w:r w:rsidRPr="0049498A">
              <w:rPr>
                <w:rFonts w:cs="Calibri"/>
              </w:rPr>
              <w:t>Administrative costs may include but are not limited to administrative oversight, accounting support</w:t>
            </w:r>
            <w:r>
              <w:rPr>
                <w:rFonts w:cs="Calibri"/>
              </w:rPr>
              <w:t>, insurance</w:t>
            </w:r>
            <w:r w:rsidRPr="0049498A">
              <w:rPr>
                <w:rFonts w:cs="Calibri"/>
              </w:rPr>
              <w:t xml:space="preserve"> and facility </w:t>
            </w:r>
            <w:r>
              <w:rPr>
                <w:rFonts w:cs="Calibri"/>
              </w:rPr>
              <w:t xml:space="preserve">rent or </w:t>
            </w:r>
            <w:r w:rsidRPr="0049498A">
              <w:rPr>
                <w:rFonts w:cs="Calibri"/>
              </w:rPr>
              <w:t>overhead.</w:t>
            </w:r>
            <w:r w:rsidR="00ED190A">
              <w:rPr>
                <w:rFonts w:cs="Calibri"/>
              </w:rPr>
              <w:t xml:space="preserve"> </w:t>
            </w:r>
            <w:r>
              <w:rPr>
                <w:rFonts w:cs="Calibri"/>
              </w:rPr>
              <w:t xml:space="preserve">Administrative costs cannot exceed 10% of the total </w:t>
            </w:r>
            <w:r w:rsidR="00B03AAD">
              <w:rPr>
                <w:rFonts w:cs="Calibri"/>
              </w:rPr>
              <w:t>budget</w:t>
            </w:r>
            <w:r>
              <w:rPr>
                <w:rFonts w:cs="Calibri"/>
              </w:rPr>
              <w:t>.</w:t>
            </w:r>
          </w:p>
        </w:tc>
      </w:tr>
    </w:tbl>
    <w:p w14:paraId="0DDA257F" w14:textId="2227D12F" w:rsidR="00F0356B" w:rsidRDefault="00A33DAB" w:rsidP="004B3396">
      <w:pPr>
        <w:rPr>
          <w:rStyle w:val="eop"/>
          <w:rFonts w:cs="Calibri"/>
          <w:color w:val="000000"/>
          <w:shd w:val="clear" w:color="auto" w:fill="FFFFFF"/>
        </w:rPr>
      </w:pPr>
      <w:r>
        <w:rPr>
          <w:rStyle w:val="normaltextrun"/>
          <w:rFonts w:cs="Calibri"/>
          <w:color w:val="000000"/>
          <w:shd w:val="clear" w:color="auto" w:fill="FFFFFF"/>
        </w:rPr>
        <w:t>All direct and indirect costs submitted for reimbursement must be allowable by the terms of the grant, reasonable and necessary, rationally allocated and adequately documented.</w:t>
      </w:r>
      <w:r>
        <w:rPr>
          <w:rStyle w:val="eop"/>
          <w:rFonts w:cs="Calibri"/>
          <w:color w:val="000000"/>
          <w:shd w:val="clear" w:color="auto" w:fill="FFFFFF"/>
        </w:rPr>
        <w:t> No costs can be double funded using other sources.</w:t>
      </w:r>
    </w:p>
    <w:p w14:paraId="3B90D11D" w14:textId="5E15F116" w:rsidR="00B076F6" w:rsidRPr="00ED190A" w:rsidRDefault="00B076F6" w:rsidP="004B3396">
      <w:pPr>
        <w:spacing w:after="0" w:line="276" w:lineRule="auto"/>
        <w:rPr>
          <w:rStyle w:val="eop"/>
          <w:rFonts w:cs="Calibri"/>
          <w:color w:val="000000"/>
          <w:shd w:val="clear" w:color="auto" w:fill="FFFFFF"/>
        </w:rPr>
      </w:pPr>
      <w:r w:rsidRPr="00ED190A">
        <w:rPr>
          <w:rStyle w:val="eop"/>
          <w:rFonts w:cs="Calibri"/>
          <w:color w:val="000000"/>
          <w:shd w:val="clear" w:color="auto" w:fill="FFFFFF"/>
        </w:rPr>
        <w:t xml:space="preserve">Ineligible expenses include but are not limited to: </w:t>
      </w:r>
    </w:p>
    <w:p w14:paraId="3DB312B6" w14:textId="32611B93" w:rsidR="00B076F6" w:rsidRPr="00582D0F" w:rsidRDefault="00B076F6" w:rsidP="00582D0F">
      <w:pPr>
        <w:pStyle w:val="ListParagraph"/>
        <w:numPr>
          <w:ilvl w:val="0"/>
          <w:numId w:val="27"/>
        </w:numPr>
        <w:spacing w:after="0" w:line="276" w:lineRule="auto"/>
        <w:rPr>
          <w:rStyle w:val="eop"/>
          <w:rFonts w:cs="Calibri"/>
          <w:color w:val="000000"/>
          <w:shd w:val="clear" w:color="auto" w:fill="FFFFFF"/>
        </w:rPr>
      </w:pPr>
      <w:r w:rsidRPr="00582D0F">
        <w:rPr>
          <w:rStyle w:val="eop"/>
          <w:rFonts w:cs="Calibri"/>
          <w:color w:val="000000"/>
          <w:shd w:val="clear" w:color="auto" w:fill="FFFFFF"/>
        </w:rPr>
        <w:t>fundraising</w:t>
      </w:r>
      <w:r w:rsidR="00ED190A">
        <w:rPr>
          <w:rStyle w:val="eop"/>
          <w:rFonts w:cs="Calibri"/>
          <w:color w:val="000000"/>
          <w:shd w:val="clear" w:color="auto" w:fill="FFFFFF"/>
        </w:rPr>
        <w:t>;</w:t>
      </w:r>
      <w:r w:rsidRPr="00582D0F">
        <w:rPr>
          <w:rStyle w:val="eop"/>
          <w:rFonts w:cs="Calibri"/>
          <w:color w:val="000000"/>
          <w:shd w:val="clear" w:color="auto" w:fill="FFFFFF"/>
        </w:rPr>
        <w:t xml:space="preserve"> </w:t>
      </w:r>
    </w:p>
    <w:p w14:paraId="19E1AD68" w14:textId="6C90C985" w:rsidR="00B076F6" w:rsidRPr="00582D0F" w:rsidRDefault="00B076F6" w:rsidP="00582D0F">
      <w:pPr>
        <w:pStyle w:val="ListParagraph"/>
        <w:numPr>
          <w:ilvl w:val="0"/>
          <w:numId w:val="27"/>
        </w:numPr>
        <w:spacing w:after="0" w:line="276" w:lineRule="auto"/>
        <w:rPr>
          <w:rStyle w:val="eop"/>
          <w:rFonts w:cs="Calibri"/>
          <w:color w:val="000000"/>
          <w:shd w:val="clear" w:color="auto" w:fill="FFFFFF"/>
        </w:rPr>
      </w:pPr>
      <w:r w:rsidRPr="00582D0F">
        <w:rPr>
          <w:rStyle w:val="eop"/>
          <w:rFonts w:cs="Calibri"/>
          <w:color w:val="000000"/>
          <w:shd w:val="clear" w:color="auto" w:fill="FFFFFF"/>
        </w:rPr>
        <w:t>taxes, except sales tax on goods and services</w:t>
      </w:r>
      <w:r w:rsidR="00810DDC">
        <w:rPr>
          <w:rStyle w:val="eop"/>
          <w:rFonts w:cs="Calibri"/>
          <w:color w:val="000000"/>
          <w:shd w:val="clear" w:color="auto" w:fill="FFFFFF"/>
        </w:rPr>
        <w:t xml:space="preserve"> and payroll</w:t>
      </w:r>
      <w:r w:rsidR="00ED190A">
        <w:rPr>
          <w:rStyle w:val="eop"/>
          <w:rFonts w:cs="Calibri"/>
          <w:color w:val="000000"/>
          <w:shd w:val="clear" w:color="auto" w:fill="FFFFFF"/>
        </w:rPr>
        <w:t>;</w:t>
      </w:r>
    </w:p>
    <w:p w14:paraId="01C627BB" w14:textId="71F4090D" w:rsidR="00B076F6" w:rsidRPr="00582D0F" w:rsidRDefault="00B076F6" w:rsidP="00582D0F">
      <w:pPr>
        <w:pStyle w:val="ListParagraph"/>
        <w:numPr>
          <w:ilvl w:val="0"/>
          <w:numId w:val="27"/>
        </w:numPr>
        <w:spacing w:after="0" w:line="276" w:lineRule="auto"/>
        <w:rPr>
          <w:rStyle w:val="eop"/>
          <w:rFonts w:cs="Calibri"/>
          <w:color w:val="000000"/>
          <w:shd w:val="clear" w:color="auto" w:fill="FFFFFF"/>
        </w:rPr>
      </w:pPr>
      <w:r w:rsidRPr="00582D0F">
        <w:rPr>
          <w:rStyle w:val="eop"/>
          <w:rFonts w:cs="Calibri"/>
          <w:color w:val="000000"/>
          <w:shd w:val="clear" w:color="auto" w:fill="FFFFFF"/>
        </w:rPr>
        <w:t>lobbyists, political contributions</w:t>
      </w:r>
      <w:r w:rsidR="00ED190A">
        <w:rPr>
          <w:rStyle w:val="eop"/>
          <w:rFonts w:cs="Calibri"/>
          <w:color w:val="000000"/>
          <w:shd w:val="clear" w:color="auto" w:fill="FFFFFF"/>
        </w:rPr>
        <w:t>;</w:t>
      </w:r>
      <w:r w:rsidRPr="00582D0F">
        <w:rPr>
          <w:rStyle w:val="eop"/>
          <w:rFonts w:cs="Calibri"/>
          <w:color w:val="000000"/>
          <w:shd w:val="clear" w:color="auto" w:fill="FFFFFF"/>
        </w:rPr>
        <w:t xml:space="preserve"> </w:t>
      </w:r>
    </w:p>
    <w:p w14:paraId="29EEE636" w14:textId="141A7EB1" w:rsidR="00B076F6" w:rsidRPr="00582D0F" w:rsidRDefault="00B076F6" w:rsidP="00582D0F">
      <w:pPr>
        <w:pStyle w:val="ListParagraph"/>
        <w:numPr>
          <w:ilvl w:val="0"/>
          <w:numId w:val="27"/>
        </w:numPr>
        <w:spacing w:after="0" w:line="276" w:lineRule="auto"/>
        <w:rPr>
          <w:rStyle w:val="eop"/>
          <w:rFonts w:cs="Calibri"/>
          <w:color w:val="000000"/>
          <w:shd w:val="clear" w:color="auto" w:fill="FFFFFF"/>
        </w:rPr>
      </w:pPr>
      <w:r w:rsidRPr="00582D0F">
        <w:rPr>
          <w:rStyle w:val="eop"/>
          <w:rFonts w:cs="Calibri"/>
          <w:color w:val="000000"/>
          <w:shd w:val="clear" w:color="auto" w:fill="FFFFFF"/>
        </w:rPr>
        <w:t>bad debts, late payment fees, finance charges, or contingency funds</w:t>
      </w:r>
      <w:r w:rsidR="00ED190A">
        <w:rPr>
          <w:rStyle w:val="eop"/>
          <w:rFonts w:cs="Calibri"/>
          <w:color w:val="000000"/>
          <w:shd w:val="clear" w:color="auto" w:fill="FFFFFF"/>
        </w:rPr>
        <w:t>;</w:t>
      </w:r>
      <w:r w:rsidRPr="00582D0F">
        <w:rPr>
          <w:rStyle w:val="eop"/>
          <w:rFonts w:cs="Calibri"/>
          <w:color w:val="000000"/>
          <w:shd w:val="clear" w:color="auto" w:fill="FFFFFF"/>
        </w:rPr>
        <w:t xml:space="preserve"> </w:t>
      </w:r>
    </w:p>
    <w:p w14:paraId="4D025EB7" w14:textId="17FC30E2" w:rsidR="00B076F6" w:rsidRPr="00582D0F" w:rsidRDefault="00B076F6" w:rsidP="00582D0F">
      <w:pPr>
        <w:pStyle w:val="ListParagraph"/>
        <w:numPr>
          <w:ilvl w:val="0"/>
          <w:numId w:val="27"/>
        </w:numPr>
        <w:spacing w:after="0" w:line="276" w:lineRule="auto"/>
        <w:rPr>
          <w:rStyle w:val="eop"/>
          <w:rFonts w:cs="Calibri"/>
          <w:color w:val="000000"/>
          <w:shd w:val="clear" w:color="auto" w:fill="FFFFFF"/>
        </w:rPr>
      </w:pPr>
      <w:r w:rsidRPr="00582D0F">
        <w:rPr>
          <w:rStyle w:val="eop"/>
          <w:rFonts w:cs="Calibri"/>
          <w:color w:val="000000"/>
          <w:shd w:val="clear" w:color="auto" w:fill="FFFFFF"/>
        </w:rPr>
        <w:t>parking</w:t>
      </w:r>
      <w:r w:rsidR="00A33DAB">
        <w:rPr>
          <w:rStyle w:val="eop"/>
          <w:rFonts w:cs="Calibri"/>
          <w:color w:val="000000"/>
          <w:shd w:val="clear" w:color="auto" w:fill="FFFFFF"/>
        </w:rPr>
        <w:t xml:space="preserve"> violations</w:t>
      </w:r>
      <w:r w:rsidRPr="00582D0F">
        <w:rPr>
          <w:rStyle w:val="eop"/>
          <w:rFonts w:cs="Calibri"/>
          <w:color w:val="000000"/>
          <w:shd w:val="clear" w:color="auto" w:fill="FFFFFF"/>
        </w:rPr>
        <w:t xml:space="preserve"> or traffic violations</w:t>
      </w:r>
      <w:r w:rsidR="00ED190A">
        <w:rPr>
          <w:rStyle w:val="eop"/>
          <w:rFonts w:cs="Calibri"/>
          <w:color w:val="000000"/>
          <w:shd w:val="clear" w:color="auto" w:fill="FFFFFF"/>
        </w:rPr>
        <w:t>;</w:t>
      </w:r>
      <w:r w:rsidR="00C41F16">
        <w:rPr>
          <w:rStyle w:val="eop"/>
          <w:rFonts w:cs="Calibri"/>
          <w:color w:val="000000"/>
          <w:shd w:val="clear" w:color="auto" w:fill="FFFFFF"/>
        </w:rPr>
        <w:t xml:space="preserve"> and</w:t>
      </w:r>
      <w:r w:rsidRPr="00582D0F">
        <w:rPr>
          <w:rStyle w:val="eop"/>
          <w:rFonts w:cs="Calibri"/>
          <w:color w:val="000000"/>
          <w:shd w:val="clear" w:color="auto" w:fill="FFFFFF"/>
        </w:rPr>
        <w:t xml:space="preserve"> </w:t>
      </w:r>
    </w:p>
    <w:p w14:paraId="6EF86CB1" w14:textId="20F935E8" w:rsidR="00B076F6" w:rsidRDefault="00B076F6" w:rsidP="00582D0F">
      <w:pPr>
        <w:pStyle w:val="ListParagraph"/>
        <w:numPr>
          <w:ilvl w:val="0"/>
          <w:numId w:val="27"/>
        </w:numPr>
        <w:spacing w:after="0" w:line="276" w:lineRule="auto"/>
        <w:rPr>
          <w:rStyle w:val="eop"/>
          <w:rFonts w:cs="Calibri"/>
          <w:color w:val="000000"/>
          <w:shd w:val="clear" w:color="auto" w:fill="FFFFFF"/>
        </w:rPr>
      </w:pPr>
      <w:r w:rsidRPr="00582D0F">
        <w:rPr>
          <w:rStyle w:val="eop"/>
          <w:rFonts w:cs="Calibri"/>
          <w:color w:val="000000"/>
          <w:shd w:val="clear" w:color="auto" w:fill="FFFFFF"/>
        </w:rPr>
        <w:t>out-of-state transportation and travel expenses. Minnesota will be considered the home state for determining whether travel is out of state.</w:t>
      </w:r>
    </w:p>
    <w:p w14:paraId="6720A2DD" w14:textId="77777777" w:rsidR="003D3C14" w:rsidRDefault="003D3C14" w:rsidP="003D3C14">
      <w:pPr>
        <w:pStyle w:val="ListParagraph"/>
        <w:numPr>
          <w:ilvl w:val="0"/>
          <w:numId w:val="0"/>
        </w:numPr>
        <w:spacing w:after="0" w:line="276" w:lineRule="auto"/>
        <w:rPr>
          <w:rStyle w:val="eop"/>
          <w:rFonts w:cs="Calibri"/>
          <w:color w:val="000000"/>
          <w:shd w:val="clear" w:color="auto" w:fill="FFFFFF"/>
        </w:rPr>
      </w:pPr>
    </w:p>
    <w:p w14:paraId="700DD975" w14:textId="33628F4F" w:rsidR="003D3C14" w:rsidRPr="00925D82" w:rsidRDefault="003D3C14" w:rsidP="003D3C14">
      <w:pPr>
        <w:pStyle w:val="ListParagraph"/>
        <w:numPr>
          <w:ilvl w:val="0"/>
          <w:numId w:val="0"/>
        </w:numPr>
        <w:spacing w:after="0" w:line="276" w:lineRule="auto"/>
        <w:rPr>
          <w:rStyle w:val="eop"/>
          <w:rFonts w:cs="Calibri"/>
          <w:color w:val="000000"/>
          <w:shd w:val="clear" w:color="auto" w:fill="FFFFFF"/>
        </w:rPr>
      </w:pPr>
      <w:r w:rsidRPr="003D3C14">
        <w:rPr>
          <w:rStyle w:val="eop"/>
          <w:rFonts w:cs="Calibri"/>
          <w:color w:val="000000"/>
          <w:shd w:val="clear" w:color="auto" w:fill="FFFFFF"/>
        </w:rPr>
        <w:t xml:space="preserve"> </w:t>
      </w:r>
      <w:r w:rsidRPr="00925D82">
        <w:rPr>
          <w:rStyle w:val="eop"/>
          <w:rFonts w:cs="Calibri"/>
          <w:color w:val="000000"/>
          <w:shd w:val="clear" w:color="auto" w:fill="FFFFFF"/>
        </w:rPr>
        <w:t>Program budgets submitted as part of the grant application are not deemed final until contract execution.</w:t>
      </w:r>
    </w:p>
    <w:p w14:paraId="7E2C5EC9" w14:textId="567C2150" w:rsidR="00D869BF" w:rsidRDefault="00441910" w:rsidP="00D869BF">
      <w:pPr>
        <w:pStyle w:val="Heading2"/>
      </w:pPr>
      <w:r>
        <w:t>7</w:t>
      </w:r>
      <w:r w:rsidR="00D869BF" w:rsidRPr="00042302">
        <w:t>. R</w:t>
      </w:r>
      <w:r w:rsidR="00D869BF">
        <w:t>eviewing and scoring applications</w:t>
      </w:r>
      <w:r w:rsidR="009F4F58">
        <w:t xml:space="preserve"> </w:t>
      </w:r>
    </w:p>
    <w:p w14:paraId="71778248" w14:textId="098FDE2B" w:rsidR="00EA1D30" w:rsidRPr="009E6432" w:rsidRDefault="00EA1D30" w:rsidP="00EA1D30">
      <w:r>
        <w:t>Funding will be allocated through a competitive process with review by a committee representing content and knowledge. If selected, you may only incur eligible expenditures when the grant contract agreement is fully executed and the grant has reached its effective date.</w:t>
      </w:r>
    </w:p>
    <w:p w14:paraId="1399A206" w14:textId="35EAD4F5" w:rsidR="00D869BF" w:rsidRPr="00860EDF" w:rsidRDefault="00D869BF" w:rsidP="00D869BF">
      <w:r>
        <w:t>The committee will be reviewing each application on a</w:t>
      </w:r>
      <w:r w:rsidR="002D51ED">
        <w:t xml:space="preserve"> </w:t>
      </w:r>
      <w:r w:rsidR="00B31F50">
        <w:t>100</w:t>
      </w:r>
      <w:r w:rsidR="002D51ED">
        <w:t xml:space="preserve">-point scale. </w:t>
      </w:r>
      <w:r w:rsidR="00C14BB7" w:rsidRPr="00C14BB7">
        <w:t xml:space="preserve">The scoring factors and weight that applications will be judged are based on the: </w:t>
      </w:r>
    </w:p>
    <w:tbl>
      <w:tblPr>
        <w:tblStyle w:val="TableGrid"/>
        <w:tblW w:w="10075" w:type="dxa"/>
        <w:tblLayout w:type="fixed"/>
        <w:tblLook w:val="04A0" w:firstRow="1" w:lastRow="0" w:firstColumn="1" w:lastColumn="0" w:noHBand="0" w:noVBand="1"/>
      </w:tblPr>
      <w:tblGrid>
        <w:gridCol w:w="1885"/>
        <w:gridCol w:w="6660"/>
        <w:gridCol w:w="1530"/>
      </w:tblGrid>
      <w:tr w:rsidR="000C0A0A" w14:paraId="76642ABF" w14:textId="77777777" w:rsidTr="410113E8">
        <w:trPr>
          <w:trHeight w:val="817"/>
        </w:trPr>
        <w:tc>
          <w:tcPr>
            <w:tcW w:w="1885" w:type="dxa"/>
            <w:vAlign w:val="center"/>
          </w:tcPr>
          <w:p w14:paraId="53296718" w14:textId="77777777" w:rsidR="000C0A0A" w:rsidRPr="00B85443" w:rsidRDefault="000C0A0A" w:rsidP="00BB3750">
            <w:pPr>
              <w:pStyle w:val="NoSpacing"/>
              <w:jc w:val="center"/>
              <w:rPr>
                <w:rFonts w:cs="Times New Roman"/>
                <w:b/>
                <w:bCs/>
              </w:rPr>
            </w:pPr>
            <w:r>
              <w:rPr>
                <w:rFonts w:cs="Times New Roman"/>
                <w:b/>
                <w:bCs/>
              </w:rPr>
              <w:t>Scoring factor</w:t>
            </w:r>
          </w:p>
        </w:tc>
        <w:tc>
          <w:tcPr>
            <w:tcW w:w="6660" w:type="dxa"/>
            <w:vAlign w:val="center"/>
          </w:tcPr>
          <w:p w14:paraId="15021ABB" w14:textId="6F4ACBFE" w:rsidR="000C0A0A" w:rsidRPr="00B85443" w:rsidRDefault="000C0A0A" w:rsidP="00614896">
            <w:pPr>
              <w:pStyle w:val="NoSpacing"/>
              <w:jc w:val="center"/>
              <w:rPr>
                <w:rFonts w:cs="Times New Roman"/>
                <w:b/>
                <w:bCs/>
              </w:rPr>
            </w:pPr>
            <w:r>
              <w:rPr>
                <w:rFonts w:cs="Times New Roman"/>
                <w:b/>
                <w:bCs/>
              </w:rPr>
              <w:t xml:space="preserve">Scoring </w:t>
            </w:r>
            <w:r w:rsidR="00F0356B">
              <w:rPr>
                <w:rFonts w:cs="Times New Roman"/>
                <w:b/>
                <w:bCs/>
              </w:rPr>
              <w:t>c</w:t>
            </w:r>
            <w:r>
              <w:rPr>
                <w:rFonts w:cs="Times New Roman"/>
                <w:b/>
                <w:bCs/>
              </w:rPr>
              <w:t>riteria</w:t>
            </w:r>
          </w:p>
        </w:tc>
        <w:tc>
          <w:tcPr>
            <w:tcW w:w="1530" w:type="dxa"/>
            <w:vAlign w:val="center"/>
          </w:tcPr>
          <w:p w14:paraId="0CC82C9D" w14:textId="77777777" w:rsidR="000C0A0A" w:rsidRPr="00B85443" w:rsidRDefault="000C0A0A" w:rsidP="00BB3750">
            <w:pPr>
              <w:pStyle w:val="NoSpacing"/>
              <w:jc w:val="center"/>
              <w:rPr>
                <w:rFonts w:cs="Times New Roman"/>
                <w:b/>
                <w:bCs/>
              </w:rPr>
            </w:pPr>
            <w:r>
              <w:rPr>
                <w:rFonts w:cs="Times New Roman"/>
                <w:b/>
                <w:bCs/>
              </w:rPr>
              <w:t>Total points possible</w:t>
            </w:r>
          </w:p>
        </w:tc>
      </w:tr>
      <w:tr w:rsidR="004863A9" w:rsidRPr="00441CCF" w14:paraId="58E02824" w14:textId="77777777" w:rsidTr="410113E8">
        <w:trPr>
          <w:trHeight w:val="1437"/>
        </w:trPr>
        <w:tc>
          <w:tcPr>
            <w:tcW w:w="1885" w:type="dxa"/>
            <w:vAlign w:val="center"/>
          </w:tcPr>
          <w:p w14:paraId="468D62D3" w14:textId="6D5372A1" w:rsidR="004863A9" w:rsidRPr="00035364" w:rsidRDefault="009C3B2C" w:rsidP="00BB3750">
            <w:pPr>
              <w:pStyle w:val="NoSpacing"/>
              <w:jc w:val="center"/>
              <w:rPr>
                <w:rFonts w:cs="Times New Roman"/>
              </w:rPr>
            </w:pPr>
            <w:r>
              <w:rPr>
                <w:rFonts w:cs="Times New Roman"/>
              </w:rPr>
              <w:t>Project overview</w:t>
            </w:r>
          </w:p>
        </w:tc>
        <w:tc>
          <w:tcPr>
            <w:tcW w:w="6660" w:type="dxa"/>
            <w:vAlign w:val="center"/>
          </w:tcPr>
          <w:p w14:paraId="3915048E" w14:textId="18C08B55" w:rsidR="00CE2DE1" w:rsidRPr="00607A8C" w:rsidRDefault="00A428EC" w:rsidP="008546E7">
            <w:r>
              <w:t>C</w:t>
            </w:r>
            <w:r w:rsidRPr="00F2141C">
              <w:t>learly summarized goals, outcomes and the major activities and services they will provide to achieve them.</w:t>
            </w:r>
          </w:p>
        </w:tc>
        <w:tc>
          <w:tcPr>
            <w:tcW w:w="1530" w:type="dxa"/>
            <w:vAlign w:val="center"/>
          </w:tcPr>
          <w:p w14:paraId="765C957F" w14:textId="544E6F3F" w:rsidR="004863A9" w:rsidRPr="009770BA" w:rsidRDefault="009B3205" w:rsidP="00BB3750">
            <w:pPr>
              <w:pStyle w:val="NoSpacing"/>
              <w:jc w:val="center"/>
              <w:rPr>
                <w:rFonts w:cs="Times New Roman"/>
              </w:rPr>
            </w:pPr>
            <w:r w:rsidRPr="009770BA">
              <w:rPr>
                <w:rFonts w:cs="Times New Roman"/>
              </w:rPr>
              <w:t>10</w:t>
            </w:r>
          </w:p>
        </w:tc>
      </w:tr>
      <w:tr w:rsidR="00C448C2" w:rsidRPr="00441CCF" w14:paraId="1C524CF4" w14:textId="77777777" w:rsidTr="410113E8">
        <w:trPr>
          <w:trHeight w:val="1437"/>
        </w:trPr>
        <w:tc>
          <w:tcPr>
            <w:tcW w:w="1885" w:type="dxa"/>
            <w:vAlign w:val="center"/>
          </w:tcPr>
          <w:p w14:paraId="257E3DE0" w14:textId="3020D542" w:rsidR="002E5C1C" w:rsidRPr="0055650D" w:rsidRDefault="00C448C2" w:rsidP="00905BD3">
            <w:pPr>
              <w:pStyle w:val="NoSpacing"/>
              <w:jc w:val="center"/>
              <w:rPr>
                <w:rFonts w:cs="Times New Roman"/>
                <w:color w:val="C00000"/>
              </w:rPr>
            </w:pPr>
            <w:r w:rsidRPr="00AD38C8">
              <w:rPr>
                <w:rFonts w:cs="Times New Roman"/>
              </w:rPr>
              <w:t>Equity</w:t>
            </w:r>
          </w:p>
        </w:tc>
        <w:tc>
          <w:tcPr>
            <w:tcW w:w="6660" w:type="dxa"/>
            <w:vAlign w:val="center"/>
          </w:tcPr>
          <w:p w14:paraId="7D6AC022" w14:textId="77777777" w:rsidR="006B02CA" w:rsidRPr="00F2141C" w:rsidRDefault="006B02CA" w:rsidP="006B02CA">
            <w:pPr>
              <w:pStyle w:val="NoSpacing"/>
              <w:ind w:left="1"/>
              <w:rPr>
                <w:rFonts w:cs="Times New Roman"/>
              </w:rPr>
            </w:pPr>
          </w:p>
          <w:p w14:paraId="77187CFC" w14:textId="74304810" w:rsidR="00D415FC" w:rsidRPr="00607A8C" w:rsidRDefault="006B02CA" w:rsidP="00B45D32">
            <w:r>
              <w:t>S</w:t>
            </w:r>
            <w:r w:rsidRPr="00F2141C">
              <w:t>ufficiently demonstrated their ability to educate the</w:t>
            </w:r>
            <w:r>
              <w:t>ir</w:t>
            </w:r>
            <w:r w:rsidRPr="00F2141C">
              <w:t xml:space="preserve"> focus population</w:t>
            </w:r>
            <w:r>
              <w:t>s</w:t>
            </w:r>
            <w:r w:rsidRPr="00F2141C">
              <w:t xml:space="preserve"> about </w:t>
            </w:r>
            <w:r w:rsidR="00E138AD">
              <w:t>WESA</w:t>
            </w:r>
            <w:r w:rsidR="00903515">
              <w:t xml:space="preserve"> and PFML</w:t>
            </w:r>
            <w:r w:rsidRPr="00F2141C">
              <w:t xml:space="preserve"> in a community</w:t>
            </w:r>
            <w:r>
              <w:t>-</w:t>
            </w:r>
            <w:r w:rsidRPr="00F2141C">
              <w:t>centered, culturally</w:t>
            </w:r>
            <w:r>
              <w:t>-</w:t>
            </w:r>
            <w:r w:rsidRPr="00F2141C">
              <w:t>relevant and accessible manner.</w:t>
            </w:r>
          </w:p>
        </w:tc>
        <w:tc>
          <w:tcPr>
            <w:tcW w:w="1530" w:type="dxa"/>
            <w:vAlign w:val="center"/>
          </w:tcPr>
          <w:p w14:paraId="017FBBBF" w14:textId="5A19EAD3" w:rsidR="00C448C2" w:rsidRPr="009770BA" w:rsidRDefault="004E707A" w:rsidP="00C448C2">
            <w:pPr>
              <w:pStyle w:val="NoSpacing"/>
              <w:jc w:val="center"/>
              <w:rPr>
                <w:rFonts w:cs="Times New Roman"/>
              </w:rPr>
            </w:pPr>
            <w:r w:rsidRPr="009770BA">
              <w:rPr>
                <w:rFonts w:cs="Times New Roman"/>
              </w:rPr>
              <w:t>20</w:t>
            </w:r>
          </w:p>
        </w:tc>
      </w:tr>
      <w:tr w:rsidR="00DA5AFD" w:rsidRPr="00441CCF" w14:paraId="37651088" w14:textId="77777777" w:rsidTr="410113E8">
        <w:trPr>
          <w:trHeight w:val="1437"/>
        </w:trPr>
        <w:tc>
          <w:tcPr>
            <w:tcW w:w="1885" w:type="dxa"/>
            <w:vAlign w:val="center"/>
          </w:tcPr>
          <w:p w14:paraId="69CDFD25" w14:textId="4B5B722D" w:rsidR="00DA5AFD" w:rsidRPr="00905BD3" w:rsidRDefault="00962353" w:rsidP="00C448C2">
            <w:pPr>
              <w:pStyle w:val="NoSpacing"/>
              <w:jc w:val="center"/>
              <w:rPr>
                <w:rFonts w:cs="Times New Roman"/>
              </w:rPr>
            </w:pPr>
            <w:r w:rsidRPr="00905BD3">
              <w:rPr>
                <w:rFonts w:cs="Times New Roman"/>
              </w:rPr>
              <w:t>Program activities and services</w:t>
            </w:r>
          </w:p>
        </w:tc>
        <w:tc>
          <w:tcPr>
            <w:tcW w:w="6660" w:type="dxa"/>
            <w:vAlign w:val="center"/>
          </w:tcPr>
          <w:p w14:paraId="1E756FC7" w14:textId="2D154C50" w:rsidR="00D44546" w:rsidRPr="00B36131" w:rsidRDefault="00495A29" w:rsidP="00DD7576">
            <w:pPr>
              <w:pStyle w:val="CommentText"/>
              <w:rPr>
                <w:sz w:val="22"/>
                <w:szCs w:val="22"/>
              </w:rPr>
            </w:pPr>
            <w:r w:rsidRPr="008056A1">
              <w:rPr>
                <w:rFonts w:cs="Times New Roman"/>
                <w:sz w:val="22"/>
                <w:szCs w:val="22"/>
              </w:rPr>
              <w:t>Described in detail work to be performed and planned partnerships that will lead to achieve planned grant outcomes.</w:t>
            </w:r>
          </w:p>
        </w:tc>
        <w:tc>
          <w:tcPr>
            <w:tcW w:w="1530" w:type="dxa"/>
            <w:vAlign w:val="center"/>
          </w:tcPr>
          <w:p w14:paraId="1A4DD806" w14:textId="16E2AF85" w:rsidR="00DA5AFD" w:rsidRPr="009770BA" w:rsidRDefault="00E2781A" w:rsidP="00C448C2">
            <w:pPr>
              <w:pStyle w:val="NoSpacing"/>
              <w:jc w:val="center"/>
              <w:rPr>
                <w:rFonts w:cs="Times New Roman"/>
              </w:rPr>
            </w:pPr>
            <w:r w:rsidRPr="009770BA">
              <w:rPr>
                <w:rFonts w:cs="Times New Roman"/>
              </w:rPr>
              <w:t>25</w:t>
            </w:r>
          </w:p>
        </w:tc>
      </w:tr>
      <w:tr w:rsidR="00466F1D" w:rsidRPr="00441CCF" w14:paraId="52C56315" w14:textId="77777777" w:rsidTr="410113E8">
        <w:trPr>
          <w:trHeight w:val="1437"/>
        </w:trPr>
        <w:tc>
          <w:tcPr>
            <w:tcW w:w="1885" w:type="dxa"/>
            <w:vAlign w:val="center"/>
          </w:tcPr>
          <w:p w14:paraId="27C54BE7" w14:textId="3B9AAF8F" w:rsidR="00466F1D" w:rsidRPr="00905BD3" w:rsidRDefault="00466F1D" w:rsidP="00466F1D">
            <w:pPr>
              <w:pStyle w:val="NoSpacing"/>
              <w:jc w:val="center"/>
              <w:rPr>
                <w:rFonts w:cs="Times New Roman"/>
              </w:rPr>
            </w:pPr>
            <w:r w:rsidRPr="00905BD3">
              <w:rPr>
                <w:rFonts w:cs="Times New Roman"/>
              </w:rPr>
              <w:t>Outcomes</w:t>
            </w:r>
          </w:p>
        </w:tc>
        <w:tc>
          <w:tcPr>
            <w:tcW w:w="6660" w:type="dxa"/>
            <w:vAlign w:val="center"/>
          </w:tcPr>
          <w:p w14:paraId="734A343C" w14:textId="77777777" w:rsidR="00CF53B9" w:rsidRDefault="00CF53B9" w:rsidP="00CF53B9">
            <w:pPr>
              <w:pStyle w:val="NoSpacing"/>
              <w:ind w:left="1"/>
              <w:rPr>
                <w:rFonts w:cs="Times New Roman"/>
              </w:rPr>
            </w:pPr>
            <w:r>
              <w:rPr>
                <w:rFonts w:cs="Times New Roman"/>
              </w:rPr>
              <w:t>P</w:t>
            </w:r>
            <w:r w:rsidRPr="00900CF0">
              <w:rPr>
                <w:rFonts w:cs="Times New Roman"/>
              </w:rPr>
              <w:t>rovided both quantitati</w:t>
            </w:r>
            <w:r w:rsidRPr="008F34C1">
              <w:rPr>
                <w:rFonts w:cs="Times New Roman"/>
              </w:rPr>
              <w:t>ve and qualitative measures for grant program activities and services. The measures are sufficient to demonstrate work was completed.</w:t>
            </w:r>
          </w:p>
          <w:p w14:paraId="3141E329" w14:textId="77777777" w:rsidR="00CF53B9" w:rsidRDefault="00CF53B9" w:rsidP="00CF53B9">
            <w:pPr>
              <w:pStyle w:val="NoSpacing"/>
              <w:ind w:left="1"/>
              <w:rPr>
                <w:rFonts w:cs="Times New Roman"/>
              </w:rPr>
            </w:pPr>
          </w:p>
          <w:p w14:paraId="56FDAD51" w14:textId="0E767C04" w:rsidR="006B37F7" w:rsidRPr="00B36131" w:rsidRDefault="00CF53B9" w:rsidP="00CE4DBD">
            <w:pPr>
              <w:pStyle w:val="CommentText"/>
              <w:rPr>
                <w:sz w:val="22"/>
                <w:szCs w:val="22"/>
              </w:rPr>
            </w:pPr>
            <w:r w:rsidRPr="008056A1">
              <w:rPr>
                <w:rFonts w:cs="Times New Roman"/>
                <w:sz w:val="22"/>
                <w:szCs w:val="22"/>
              </w:rPr>
              <w:t>Outlined a process for how data will be collected.</w:t>
            </w:r>
          </w:p>
        </w:tc>
        <w:tc>
          <w:tcPr>
            <w:tcW w:w="1530" w:type="dxa"/>
            <w:vAlign w:val="center"/>
          </w:tcPr>
          <w:p w14:paraId="5CEEDDF2" w14:textId="5902B841" w:rsidR="00466F1D" w:rsidRPr="009770BA" w:rsidRDefault="00466F1D" w:rsidP="00466F1D">
            <w:pPr>
              <w:pStyle w:val="NoSpacing"/>
              <w:jc w:val="center"/>
              <w:rPr>
                <w:rFonts w:cs="Times New Roman"/>
              </w:rPr>
            </w:pPr>
            <w:r w:rsidRPr="009770BA">
              <w:rPr>
                <w:rFonts w:cs="Times New Roman"/>
              </w:rPr>
              <w:t>10</w:t>
            </w:r>
          </w:p>
        </w:tc>
      </w:tr>
      <w:tr w:rsidR="0017744E" w:rsidRPr="00441CCF" w14:paraId="2ABD50C1" w14:textId="77777777" w:rsidTr="410113E8">
        <w:trPr>
          <w:trHeight w:val="1437"/>
        </w:trPr>
        <w:tc>
          <w:tcPr>
            <w:tcW w:w="1885" w:type="dxa"/>
            <w:vAlign w:val="center"/>
          </w:tcPr>
          <w:p w14:paraId="3A94485A" w14:textId="5093F5CD" w:rsidR="0017744E" w:rsidRPr="007015A1" w:rsidRDefault="0017744E" w:rsidP="0017744E">
            <w:pPr>
              <w:pStyle w:val="NoSpacing"/>
              <w:jc w:val="center"/>
              <w:rPr>
                <w:rFonts w:cs="Times New Roman"/>
                <w:color w:val="C00000"/>
              </w:rPr>
            </w:pPr>
            <w:r w:rsidRPr="00887DF1">
              <w:rPr>
                <w:rFonts w:cs="Times New Roman"/>
              </w:rPr>
              <w:t xml:space="preserve">Work </w:t>
            </w:r>
            <w:r w:rsidR="00CE4DBD">
              <w:rPr>
                <w:rFonts w:cs="Times New Roman"/>
              </w:rPr>
              <w:t>p</w:t>
            </w:r>
            <w:r w:rsidRPr="00887DF1">
              <w:rPr>
                <w:rFonts w:cs="Times New Roman"/>
              </w:rPr>
              <w:t>lan</w:t>
            </w:r>
          </w:p>
        </w:tc>
        <w:tc>
          <w:tcPr>
            <w:tcW w:w="6660" w:type="dxa"/>
            <w:vAlign w:val="center"/>
          </w:tcPr>
          <w:p w14:paraId="1AAAF41D" w14:textId="72805987" w:rsidR="0017744E" w:rsidRPr="00607A8C" w:rsidRDefault="00AD5780" w:rsidP="00893751">
            <w:pPr>
              <w:rPr>
                <w:lang w:bidi="ar-SA"/>
              </w:rPr>
            </w:pPr>
            <w:r w:rsidRPr="00900CF0">
              <w:t>Included a</w:t>
            </w:r>
            <w:r w:rsidRPr="00FF581C">
              <w:t xml:space="preserve"> realistic</w:t>
            </w:r>
            <w:r w:rsidRPr="00900CF0">
              <w:t xml:space="preserve"> timeline for major program activities, resources, partner roles and grant outcomes.</w:t>
            </w:r>
          </w:p>
        </w:tc>
        <w:tc>
          <w:tcPr>
            <w:tcW w:w="1530" w:type="dxa"/>
            <w:vAlign w:val="center"/>
          </w:tcPr>
          <w:p w14:paraId="2B63B256" w14:textId="76C863D0" w:rsidR="0017744E" w:rsidRPr="009770BA" w:rsidRDefault="00E2781A" w:rsidP="0017744E">
            <w:pPr>
              <w:pStyle w:val="NoSpacing"/>
              <w:jc w:val="center"/>
              <w:rPr>
                <w:rFonts w:cs="Times New Roman"/>
              </w:rPr>
            </w:pPr>
            <w:r w:rsidRPr="009770BA">
              <w:rPr>
                <w:rFonts w:cs="Times New Roman"/>
              </w:rPr>
              <w:t>2</w:t>
            </w:r>
            <w:r w:rsidR="00BC4C9D">
              <w:rPr>
                <w:rFonts w:cs="Times New Roman"/>
              </w:rPr>
              <w:t>5</w:t>
            </w:r>
          </w:p>
        </w:tc>
      </w:tr>
      <w:tr w:rsidR="002400F5" w:rsidRPr="00441CCF" w14:paraId="19928053" w14:textId="77777777" w:rsidTr="410113E8">
        <w:trPr>
          <w:trHeight w:val="359"/>
        </w:trPr>
        <w:tc>
          <w:tcPr>
            <w:tcW w:w="1885" w:type="dxa"/>
            <w:vAlign w:val="center"/>
          </w:tcPr>
          <w:p w14:paraId="6C92C97B" w14:textId="70076503" w:rsidR="002400F5" w:rsidRPr="00441CCF" w:rsidRDefault="6E133500" w:rsidP="002400F5">
            <w:pPr>
              <w:pStyle w:val="NoSpacing"/>
              <w:jc w:val="center"/>
              <w:rPr>
                <w:rFonts w:cs="Times New Roman"/>
                <w:color w:val="FF0000"/>
              </w:rPr>
            </w:pPr>
            <w:r w:rsidRPr="410113E8">
              <w:rPr>
                <w:rFonts w:cs="Times New Roman"/>
              </w:rPr>
              <w:t>Staff Experience</w:t>
            </w:r>
          </w:p>
        </w:tc>
        <w:tc>
          <w:tcPr>
            <w:tcW w:w="6660" w:type="dxa"/>
            <w:vAlign w:val="center"/>
          </w:tcPr>
          <w:p w14:paraId="5648626D" w14:textId="194113BF" w:rsidR="007015A1" w:rsidRPr="00607A8C" w:rsidRDefault="00962A5B" w:rsidP="00091A12">
            <w:pPr>
              <w:rPr>
                <w:color w:val="FF0000"/>
              </w:rPr>
            </w:pPr>
            <w:r w:rsidRPr="00900CF0">
              <w:t xml:space="preserve">Provided </w:t>
            </w:r>
            <w:r>
              <w:t xml:space="preserve">information regarding grant program staff’s ability to successfully conduct needed grant work. </w:t>
            </w:r>
          </w:p>
        </w:tc>
        <w:tc>
          <w:tcPr>
            <w:tcW w:w="1530" w:type="dxa"/>
            <w:vAlign w:val="center"/>
          </w:tcPr>
          <w:p w14:paraId="31F4DB6C" w14:textId="709F4C12" w:rsidR="002400F5" w:rsidRPr="009770BA" w:rsidRDefault="00530F60" w:rsidP="002400F5">
            <w:pPr>
              <w:pStyle w:val="NoSpacing"/>
              <w:jc w:val="center"/>
              <w:rPr>
                <w:rFonts w:cs="Times New Roman"/>
              </w:rPr>
            </w:pPr>
            <w:r>
              <w:rPr>
                <w:rFonts w:cs="Times New Roman"/>
              </w:rPr>
              <w:t>1</w:t>
            </w:r>
            <w:r w:rsidR="00BC4C9D">
              <w:rPr>
                <w:rFonts w:cs="Times New Roman"/>
              </w:rPr>
              <w:t>0</w:t>
            </w:r>
          </w:p>
        </w:tc>
      </w:tr>
      <w:tr w:rsidR="00FE3A3A" w:rsidRPr="00441CCF" w14:paraId="590E7FCA" w14:textId="77777777" w:rsidTr="410113E8">
        <w:trPr>
          <w:trHeight w:val="359"/>
        </w:trPr>
        <w:tc>
          <w:tcPr>
            <w:tcW w:w="1885" w:type="dxa"/>
            <w:vAlign w:val="center"/>
          </w:tcPr>
          <w:p w14:paraId="12943FBA" w14:textId="0629769B" w:rsidR="00FE3A3A" w:rsidRDefault="00FE3A3A" w:rsidP="00FE3A3A">
            <w:pPr>
              <w:pStyle w:val="NoSpacing"/>
              <w:jc w:val="center"/>
              <w:rPr>
                <w:rFonts w:cs="Times New Roman"/>
              </w:rPr>
            </w:pPr>
            <w:r w:rsidRPr="00887DF1">
              <w:rPr>
                <w:rFonts w:cs="Times New Roman"/>
              </w:rPr>
              <w:t>Budget and budget narrative</w:t>
            </w:r>
          </w:p>
        </w:tc>
        <w:tc>
          <w:tcPr>
            <w:tcW w:w="6660" w:type="dxa"/>
            <w:vAlign w:val="center"/>
          </w:tcPr>
          <w:p w14:paraId="151337A6" w14:textId="77777777" w:rsidR="003F11C7" w:rsidRPr="008C4905" w:rsidRDefault="003F11C7" w:rsidP="003F11C7">
            <w:pPr>
              <w:pStyle w:val="NoSpacing"/>
              <w:rPr>
                <w:rFonts w:cs="Times New Roman"/>
              </w:rPr>
            </w:pPr>
            <w:r>
              <w:rPr>
                <w:rFonts w:cs="Times New Roman"/>
              </w:rPr>
              <w:t>Provided a</w:t>
            </w:r>
            <w:r w:rsidRPr="008C4905">
              <w:rPr>
                <w:rFonts w:cs="Times New Roman"/>
              </w:rPr>
              <w:t xml:space="preserve"> proposed budget</w:t>
            </w:r>
            <w:r>
              <w:rPr>
                <w:rFonts w:cs="Times New Roman"/>
              </w:rPr>
              <w:t xml:space="preserve"> that</w:t>
            </w:r>
            <w:r w:rsidRPr="008C4905">
              <w:rPr>
                <w:rFonts w:cs="Times New Roman"/>
              </w:rPr>
              <w:t xml:space="preserve"> is appropriate for anticipated uses. </w:t>
            </w:r>
          </w:p>
          <w:p w14:paraId="1D4A8A5D" w14:textId="77777777" w:rsidR="003F11C7" w:rsidRPr="008C4905" w:rsidRDefault="003F11C7" w:rsidP="003F11C7">
            <w:pPr>
              <w:pStyle w:val="NoSpacing"/>
              <w:rPr>
                <w:rFonts w:cs="Times New Roman"/>
              </w:rPr>
            </w:pPr>
          </w:p>
          <w:p w14:paraId="5C5D8AF3" w14:textId="4AD38B8E" w:rsidR="00FE3A3A" w:rsidRPr="003C05DC" w:rsidRDefault="003F11C7" w:rsidP="003F11C7">
            <w:pPr>
              <w:pStyle w:val="NoSpacing"/>
              <w:ind w:left="1"/>
              <w:rPr>
                <w:rFonts w:cs="Times New Roman"/>
              </w:rPr>
            </w:pPr>
            <w:r>
              <w:rPr>
                <w:rFonts w:cs="Times New Roman"/>
              </w:rPr>
              <w:t>Provided a</w:t>
            </w:r>
            <w:r w:rsidRPr="008C4905">
              <w:rPr>
                <w:rFonts w:cs="Times New Roman"/>
              </w:rPr>
              <w:t xml:space="preserve"> budget narrative </w:t>
            </w:r>
            <w:r>
              <w:rPr>
                <w:rFonts w:cs="Times New Roman"/>
              </w:rPr>
              <w:t>with</w:t>
            </w:r>
            <w:r w:rsidRPr="008C4905">
              <w:rPr>
                <w:rFonts w:cs="Times New Roman"/>
              </w:rPr>
              <w:t xml:space="preserve"> a detailed account for proposed expenditures.</w:t>
            </w:r>
          </w:p>
        </w:tc>
        <w:tc>
          <w:tcPr>
            <w:tcW w:w="1530" w:type="dxa"/>
            <w:vAlign w:val="center"/>
          </w:tcPr>
          <w:p w14:paraId="0BA877F4" w14:textId="00CCA690" w:rsidR="00FE3A3A" w:rsidRPr="009770BA" w:rsidRDefault="00035053" w:rsidP="00FE3A3A">
            <w:pPr>
              <w:pStyle w:val="NoSpacing"/>
              <w:jc w:val="center"/>
              <w:rPr>
                <w:rFonts w:cs="Times New Roman"/>
              </w:rPr>
            </w:pPr>
            <w:r w:rsidRPr="009770BA">
              <w:rPr>
                <w:rFonts w:cs="Times New Roman"/>
              </w:rPr>
              <w:t>(</w:t>
            </w:r>
            <w:r w:rsidR="008214CC">
              <w:rPr>
                <w:rFonts w:cs="Times New Roman"/>
              </w:rPr>
              <w:t>R</w:t>
            </w:r>
            <w:r w:rsidRPr="009770BA">
              <w:rPr>
                <w:rFonts w:cs="Times New Roman"/>
              </w:rPr>
              <w:t xml:space="preserve">equired, </w:t>
            </w:r>
            <w:r w:rsidR="00FE3A3A" w:rsidRPr="009770BA">
              <w:rPr>
                <w:rFonts w:cs="Times New Roman"/>
              </w:rPr>
              <w:t>unscored</w:t>
            </w:r>
            <w:r w:rsidRPr="009770BA">
              <w:rPr>
                <w:rFonts w:cs="Times New Roman"/>
              </w:rPr>
              <w:t>)</w:t>
            </w:r>
          </w:p>
        </w:tc>
      </w:tr>
      <w:tr w:rsidR="00D3338E" w:rsidRPr="003E26C6" w14:paraId="793EE11C" w14:textId="77777777" w:rsidTr="410113E8">
        <w:trPr>
          <w:trHeight w:val="683"/>
        </w:trPr>
        <w:tc>
          <w:tcPr>
            <w:tcW w:w="1885" w:type="dxa"/>
            <w:vAlign w:val="center"/>
          </w:tcPr>
          <w:p w14:paraId="350BEE34" w14:textId="4A07FF75" w:rsidR="00D3338E" w:rsidRPr="003E26C6" w:rsidRDefault="00D3338E" w:rsidP="002400F5">
            <w:pPr>
              <w:pStyle w:val="NoSpacing"/>
              <w:jc w:val="right"/>
              <w:rPr>
                <w:rFonts w:cs="Times New Roman"/>
                <w:b/>
                <w:bCs/>
              </w:rPr>
            </w:pPr>
          </w:p>
        </w:tc>
        <w:tc>
          <w:tcPr>
            <w:tcW w:w="6660" w:type="dxa"/>
            <w:vAlign w:val="center"/>
          </w:tcPr>
          <w:p w14:paraId="130D3998" w14:textId="5FE0B18B" w:rsidR="00D3338E" w:rsidRPr="003E26C6" w:rsidRDefault="00D3338E" w:rsidP="002400F5">
            <w:pPr>
              <w:pStyle w:val="NoSpacing"/>
              <w:jc w:val="right"/>
              <w:rPr>
                <w:rFonts w:cs="Times New Roman"/>
                <w:b/>
                <w:bCs/>
              </w:rPr>
            </w:pPr>
            <w:r>
              <w:rPr>
                <w:rFonts w:cs="Times New Roman"/>
                <w:b/>
                <w:bCs/>
              </w:rPr>
              <w:t>Total score available</w:t>
            </w:r>
          </w:p>
        </w:tc>
        <w:tc>
          <w:tcPr>
            <w:tcW w:w="1530" w:type="dxa"/>
            <w:vAlign w:val="center"/>
          </w:tcPr>
          <w:p w14:paraId="7D67268D" w14:textId="77777777" w:rsidR="00D3338E" w:rsidRPr="003E26C6" w:rsidRDefault="00D3338E" w:rsidP="002400F5">
            <w:pPr>
              <w:pStyle w:val="NoSpacing"/>
              <w:jc w:val="center"/>
              <w:rPr>
                <w:rFonts w:cs="Times New Roman"/>
                <w:b/>
                <w:bCs/>
              </w:rPr>
            </w:pPr>
            <w:r w:rsidRPr="003E26C6">
              <w:rPr>
                <w:rFonts w:cs="Times New Roman"/>
                <w:b/>
                <w:bCs/>
              </w:rPr>
              <w:t>100</w:t>
            </w:r>
          </w:p>
        </w:tc>
      </w:tr>
    </w:tbl>
    <w:p w14:paraId="1BDBD3AA" w14:textId="4A85D943" w:rsidR="00B67AF2" w:rsidRDefault="00441910" w:rsidP="005C2405">
      <w:pPr>
        <w:pStyle w:val="Heading2"/>
      </w:pPr>
      <w:r>
        <w:t>8</w:t>
      </w:r>
      <w:r w:rsidR="00B67AF2">
        <w:t>. G</w:t>
      </w:r>
      <w:r w:rsidR="0033417A">
        <w:t>rantee reporting requirements</w:t>
      </w:r>
    </w:p>
    <w:p w14:paraId="586D4B27" w14:textId="00899687" w:rsidR="005C2405" w:rsidRPr="005C2405" w:rsidRDefault="00B67AF2" w:rsidP="005C2405">
      <w:pPr>
        <w:rPr>
          <w:color w:val="C00000"/>
        </w:rPr>
      </w:pPr>
      <w:r>
        <w:t xml:space="preserve">The </w:t>
      </w:r>
      <w:r w:rsidR="00083542">
        <w:t>g</w:t>
      </w:r>
      <w:r>
        <w:t xml:space="preserve">rantee must take part in every other month progress update and technical assistance calls. Additionally, the </w:t>
      </w:r>
      <w:r w:rsidR="00083542">
        <w:t>g</w:t>
      </w:r>
      <w:r>
        <w:t xml:space="preserve">rantee must submit </w:t>
      </w:r>
      <w:r w:rsidR="00536D29">
        <w:t>the following documents</w:t>
      </w:r>
      <w:r w:rsidR="00C35BDC">
        <w:t>:</w:t>
      </w:r>
    </w:p>
    <w:p w14:paraId="43450E87" w14:textId="1F736F58" w:rsidR="00B67AF2" w:rsidRPr="000E3AEE" w:rsidRDefault="00F114AF" w:rsidP="00DB2A8B">
      <w:pPr>
        <w:pStyle w:val="ListParagraph"/>
        <w:numPr>
          <w:ilvl w:val="0"/>
          <w:numId w:val="30"/>
        </w:numPr>
      </w:pPr>
      <w:r w:rsidRPr="000D595B">
        <w:t xml:space="preserve">Reimbursement </w:t>
      </w:r>
      <w:r w:rsidR="00FF695A">
        <w:t>p</w:t>
      </w:r>
      <w:r w:rsidRPr="000D595B">
        <w:t xml:space="preserve">ayment </w:t>
      </w:r>
      <w:r w:rsidR="00FF695A">
        <w:t>r</w:t>
      </w:r>
      <w:r w:rsidRPr="000D595B">
        <w:t>equest</w:t>
      </w:r>
      <w:r w:rsidRPr="000E3AEE">
        <w:t xml:space="preserve"> </w:t>
      </w:r>
      <w:r>
        <w:t>(</w:t>
      </w:r>
      <w:r w:rsidR="00B67AF2" w:rsidRPr="000E3AEE">
        <w:t>RPR</w:t>
      </w:r>
      <w:r>
        <w:t>)</w:t>
      </w:r>
      <w:r w:rsidR="00B67AF2" w:rsidRPr="000E3AEE">
        <w:t xml:space="preserve"> For </w:t>
      </w:r>
      <w:r w:rsidR="00F12824" w:rsidRPr="000E3AEE">
        <w:t>i</w:t>
      </w:r>
      <w:r w:rsidR="00B67AF2" w:rsidRPr="000E3AEE">
        <w:t>nvoicing</w:t>
      </w:r>
      <w:r w:rsidR="00B84C97" w:rsidRPr="000E3AEE">
        <w:t xml:space="preserve"> (template provided by DLI)</w:t>
      </w:r>
    </w:p>
    <w:p w14:paraId="4B4B1ED1" w14:textId="2A833D44" w:rsidR="00B67AF2" w:rsidRPr="000E3AEE" w:rsidRDefault="00B67AF2" w:rsidP="00DB2A8B">
      <w:pPr>
        <w:pStyle w:val="ListParagraph"/>
        <w:numPr>
          <w:ilvl w:val="0"/>
          <w:numId w:val="30"/>
        </w:numPr>
      </w:pPr>
      <w:r w:rsidRPr="000E3AEE">
        <w:t xml:space="preserve">Expense </w:t>
      </w:r>
      <w:r w:rsidR="00FF695A">
        <w:t>s</w:t>
      </w:r>
      <w:r w:rsidRPr="000E3AEE">
        <w:t>ummary</w:t>
      </w:r>
      <w:r w:rsidR="00F12824" w:rsidRPr="000E3AEE">
        <w:t xml:space="preserve"> </w:t>
      </w:r>
      <w:r w:rsidR="00B84C97" w:rsidRPr="000E3AEE">
        <w:t>(template provided by DLI)</w:t>
      </w:r>
    </w:p>
    <w:p w14:paraId="00D779ED" w14:textId="6568B4C8" w:rsidR="00B67AF2" w:rsidRPr="00541275" w:rsidRDefault="00B67AF2" w:rsidP="00DB2A8B">
      <w:pPr>
        <w:pStyle w:val="ListParagraph"/>
        <w:numPr>
          <w:ilvl w:val="0"/>
          <w:numId w:val="30"/>
        </w:numPr>
      </w:pPr>
      <w:r w:rsidRPr="00541275">
        <w:t>Participant forms</w:t>
      </w:r>
    </w:p>
    <w:p w14:paraId="656D315E" w14:textId="22221A6F" w:rsidR="00B67AF2" w:rsidRPr="000E3AEE" w:rsidRDefault="00B67AF2" w:rsidP="00DB2A8B">
      <w:pPr>
        <w:pStyle w:val="ListParagraph"/>
        <w:numPr>
          <w:ilvl w:val="0"/>
          <w:numId w:val="30"/>
        </w:numPr>
      </w:pPr>
      <w:r w:rsidRPr="000E3AEE">
        <w:t xml:space="preserve">Quarterly </w:t>
      </w:r>
      <w:r w:rsidR="00FF695A">
        <w:t>n</w:t>
      </w:r>
      <w:r w:rsidRPr="000E3AEE">
        <w:t xml:space="preserve">arrative </w:t>
      </w:r>
      <w:r w:rsidR="00FF695A">
        <w:t>r</w:t>
      </w:r>
      <w:r w:rsidRPr="000E3AEE">
        <w:t>eport</w:t>
      </w:r>
      <w:r w:rsidR="00B84C97" w:rsidRPr="000E3AEE">
        <w:t xml:space="preserve"> (template provided by DLI)</w:t>
      </w:r>
    </w:p>
    <w:p w14:paraId="5EF24B0A" w14:textId="7A0BB0A0" w:rsidR="0069120A" w:rsidRPr="000E3AEE" w:rsidRDefault="0069120A" w:rsidP="00DB2A8B">
      <w:pPr>
        <w:pStyle w:val="ListParagraph"/>
        <w:numPr>
          <w:ilvl w:val="0"/>
          <w:numId w:val="30"/>
        </w:numPr>
      </w:pPr>
      <w:r w:rsidRPr="000E3AEE">
        <w:t>Final report (template provided by DLI)</w:t>
      </w:r>
    </w:p>
    <w:p w14:paraId="0B8C91F9" w14:textId="06C6DFFF" w:rsidR="00FF05FE" w:rsidDel="00530F60" w:rsidRDefault="00B67AF2" w:rsidP="00B67AF2">
      <w:r>
        <w:t xml:space="preserve">All reports and required supporting documentation must be submitted on a quarterly basis no later than </w:t>
      </w:r>
      <w:r w:rsidR="00B129DF">
        <w:t>the first of the next month following the end</w:t>
      </w:r>
      <w:r>
        <w:t xml:space="preserve"> of the reporting quarter. </w:t>
      </w:r>
      <w:r w:rsidR="00530F60">
        <w:t xml:space="preserve">Due dates </w:t>
      </w:r>
      <w:r>
        <w:t>are as follows:</w:t>
      </w:r>
    </w:p>
    <w:tbl>
      <w:tblPr>
        <w:tblStyle w:val="TableGrid1"/>
        <w:tblW w:w="0" w:type="auto"/>
        <w:tblLook w:val="04A0" w:firstRow="1" w:lastRow="0" w:firstColumn="1" w:lastColumn="0" w:noHBand="0" w:noVBand="1"/>
      </w:tblPr>
      <w:tblGrid>
        <w:gridCol w:w="5035"/>
        <w:gridCol w:w="5035"/>
      </w:tblGrid>
      <w:tr w:rsidR="00FF05FE" w14:paraId="4B0D97B8" w14:textId="77777777" w:rsidTr="00265E58">
        <w:trPr>
          <w:cnfStyle w:val="100000000000" w:firstRow="1" w:lastRow="0" w:firstColumn="0" w:lastColumn="0" w:oddVBand="0" w:evenVBand="0" w:oddHBand="0" w:evenHBand="0" w:firstRowFirstColumn="0" w:firstRowLastColumn="0" w:lastRowFirstColumn="0" w:lastRowLastColumn="0"/>
        </w:trPr>
        <w:tc>
          <w:tcPr>
            <w:tcW w:w="5035" w:type="dxa"/>
          </w:tcPr>
          <w:p w14:paraId="2AC8B907" w14:textId="115CDE48" w:rsidR="00FF05FE" w:rsidRDefault="00FF05FE" w:rsidP="00265E58">
            <w:r>
              <w:t xml:space="preserve">Activity </w:t>
            </w:r>
            <w:r w:rsidR="00FF695A">
              <w:t>q</w:t>
            </w:r>
            <w:r>
              <w:t>uarter</w:t>
            </w:r>
          </w:p>
        </w:tc>
        <w:tc>
          <w:tcPr>
            <w:tcW w:w="5035" w:type="dxa"/>
          </w:tcPr>
          <w:p w14:paraId="716F0487" w14:textId="44A6DD08" w:rsidR="00FF05FE" w:rsidRDefault="00FF05FE" w:rsidP="00265E58">
            <w:r>
              <w:t xml:space="preserve">Report </w:t>
            </w:r>
            <w:r w:rsidR="00FF695A">
              <w:t>d</w:t>
            </w:r>
            <w:r>
              <w:t xml:space="preserve">ue </w:t>
            </w:r>
            <w:r w:rsidR="00FF695A">
              <w:t>d</w:t>
            </w:r>
            <w:r>
              <w:t>ate</w:t>
            </w:r>
          </w:p>
        </w:tc>
      </w:tr>
      <w:tr w:rsidR="00FF05FE" w14:paraId="45F3EA0D" w14:textId="77777777" w:rsidTr="00265E58">
        <w:trPr>
          <w:cnfStyle w:val="000000100000" w:firstRow="0" w:lastRow="0" w:firstColumn="0" w:lastColumn="0" w:oddVBand="0" w:evenVBand="0" w:oddHBand="1" w:evenHBand="0" w:firstRowFirstColumn="0" w:firstRowLastColumn="0" w:lastRowFirstColumn="0" w:lastRowLastColumn="0"/>
        </w:trPr>
        <w:tc>
          <w:tcPr>
            <w:tcW w:w="5035" w:type="dxa"/>
          </w:tcPr>
          <w:p w14:paraId="63823E3D" w14:textId="7E134AC2" w:rsidR="00FF05FE" w:rsidRPr="004B3396" w:rsidRDefault="00FF05FE" w:rsidP="00265E58">
            <w:pPr>
              <w:jc w:val="center"/>
              <w:rPr>
                <w:sz w:val="22"/>
                <w:szCs w:val="22"/>
              </w:rPr>
            </w:pPr>
            <w:r w:rsidRPr="00FF695A">
              <w:t>July 1 to Sept</w:t>
            </w:r>
            <w:r w:rsidR="00FF695A">
              <w:rPr>
                <w:sz w:val="22"/>
                <w:szCs w:val="22"/>
              </w:rPr>
              <w:t>.</w:t>
            </w:r>
            <w:r w:rsidRPr="00FF695A">
              <w:t xml:space="preserve"> 30</w:t>
            </w:r>
          </w:p>
        </w:tc>
        <w:tc>
          <w:tcPr>
            <w:tcW w:w="5035" w:type="dxa"/>
          </w:tcPr>
          <w:p w14:paraId="169AA68B" w14:textId="4527E1B9" w:rsidR="00FF05FE" w:rsidRPr="004B3396" w:rsidRDefault="00FF05FE" w:rsidP="00265E58">
            <w:pPr>
              <w:jc w:val="center"/>
              <w:rPr>
                <w:sz w:val="22"/>
                <w:szCs w:val="22"/>
              </w:rPr>
            </w:pPr>
            <w:r w:rsidRPr="00FF695A">
              <w:t>Nov</w:t>
            </w:r>
            <w:r w:rsidR="00FF695A">
              <w:rPr>
                <w:sz w:val="22"/>
                <w:szCs w:val="22"/>
              </w:rPr>
              <w:t>.</w:t>
            </w:r>
            <w:r w:rsidRPr="00FF695A">
              <w:t xml:space="preserve"> 1</w:t>
            </w:r>
          </w:p>
        </w:tc>
      </w:tr>
      <w:tr w:rsidR="00FF05FE" w14:paraId="2F39E7CE" w14:textId="77777777" w:rsidTr="00265E58">
        <w:trPr>
          <w:cnfStyle w:val="000000010000" w:firstRow="0" w:lastRow="0" w:firstColumn="0" w:lastColumn="0" w:oddVBand="0" w:evenVBand="0" w:oddHBand="0" w:evenHBand="1" w:firstRowFirstColumn="0" w:firstRowLastColumn="0" w:lastRowFirstColumn="0" w:lastRowLastColumn="0"/>
        </w:trPr>
        <w:tc>
          <w:tcPr>
            <w:tcW w:w="5035" w:type="dxa"/>
          </w:tcPr>
          <w:p w14:paraId="3966E078" w14:textId="1A1938E6" w:rsidR="00FF05FE" w:rsidRPr="004B3396" w:rsidRDefault="00FF05FE" w:rsidP="00265E58">
            <w:pPr>
              <w:jc w:val="center"/>
              <w:rPr>
                <w:sz w:val="22"/>
                <w:szCs w:val="22"/>
              </w:rPr>
            </w:pPr>
            <w:r w:rsidRPr="00FF695A">
              <w:t>Oct</w:t>
            </w:r>
            <w:r w:rsidR="00FF695A">
              <w:rPr>
                <w:sz w:val="22"/>
                <w:szCs w:val="22"/>
              </w:rPr>
              <w:t>.</w:t>
            </w:r>
            <w:r w:rsidRPr="00FF695A">
              <w:t xml:space="preserve"> 1 to Dec</w:t>
            </w:r>
            <w:r w:rsidR="00FF695A">
              <w:rPr>
                <w:sz w:val="22"/>
                <w:szCs w:val="22"/>
              </w:rPr>
              <w:t>.</w:t>
            </w:r>
            <w:r w:rsidRPr="00FF695A">
              <w:t xml:space="preserve"> 31</w:t>
            </w:r>
          </w:p>
        </w:tc>
        <w:tc>
          <w:tcPr>
            <w:tcW w:w="5035" w:type="dxa"/>
          </w:tcPr>
          <w:p w14:paraId="3ABE3D13" w14:textId="54A8837B" w:rsidR="00FF05FE" w:rsidRPr="004B3396" w:rsidRDefault="00FF05FE" w:rsidP="00265E58">
            <w:pPr>
              <w:jc w:val="center"/>
              <w:rPr>
                <w:sz w:val="22"/>
                <w:szCs w:val="22"/>
              </w:rPr>
            </w:pPr>
            <w:r w:rsidRPr="00FF695A">
              <w:t>Feb</w:t>
            </w:r>
            <w:r w:rsidR="00FF695A">
              <w:rPr>
                <w:sz w:val="22"/>
                <w:szCs w:val="22"/>
              </w:rPr>
              <w:t>.</w:t>
            </w:r>
            <w:r w:rsidRPr="00FF695A">
              <w:t xml:space="preserve"> 1</w:t>
            </w:r>
          </w:p>
        </w:tc>
      </w:tr>
      <w:tr w:rsidR="00FF05FE" w14:paraId="0E9366F6" w14:textId="77777777" w:rsidTr="00265E58">
        <w:trPr>
          <w:cnfStyle w:val="000000100000" w:firstRow="0" w:lastRow="0" w:firstColumn="0" w:lastColumn="0" w:oddVBand="0" w:evenVBand="0" w:oddHBand="1" w:evenHBand="0" w:firstRowFirstColumn="0" w:firstRowLastColumn="0" w:lastRowFirstColumn="0" w:lastRowLastColumn="0"/>
        </w:trPr>
        <w:tc>
          <w:tcPr>
            <w:tcW w:w="5035" w:type="dxa"/>
          </w:tcPr>
          <w:p w14:paraId="5B7EA4DF" w14:textId="5FC8DACD" w:rsidR="00FF05FE" w:rsidRPr="004B3396" w:rsidRDefault="00FF05FE" w:rsidP="00265E58">
            <w:pPr>
              <w:jc w:val="center"/>
              <w:rPr>
                <w:sz w:val="22"/>
                <w:szCs w:val="22"/>
              </w:rPr>
            </w:pPr>
            <w:r w:rsidRPr="00FF695A">
              <w:t>Jan</w:t>
            </w:r>
            <w:r w:rsidR="00FF695A">
              <w:rPr>
                <w:sz w:val="22"/>
                <w:szCs w:val="22"/>
              </w:rPr>
              <w:t xml:space="preserve">. </w:t>
            </w:r>
            <w:r w:rsidRPr="00FF695A">
              <w:t>1 to March 31</w:t>
            </w:r>
          </w:p>
        </w:tc>
        <w:tc>
          <w:tcPr>
            <w:tcW w:w="5035" w:type="dxa"/>
          </w:tcPr>
          <w:p w14:paraId="2487F374" w14:textId="77777777" w:rsidR="00FF05FE" w:rsidRPr="004B3396" w:rsidRDefault="00FF05FE" w:rsidP="00265E58">
            <w:pPr>
              <w:jc w:val="center"/>
              <w:rPr>
                <w:sz w:val="22"/>
                <w:szCs w:val="22"/>
              </w:rPr>
            </w:pPr>
            <w:r w:rsidRPr="00FF695A">
              <w:t>May 1</w:t>
            </w:r>
          </w:p>
        </w:tc>
      </w:tr>
      <w:tr w:rsidR="00FF05FE" w14:paraId="44C6B6AB" w14:textId="77777777" w:rsidTr="00265E58">
        <w:trPr>
          <w:cnfStyle w:val="000000010000" w:firstRow="0" w:lastRow="0" w:firstColumn="0" w:lastColumn="0" w:oddVBand="0" w:evenVBand="0" w:oddHBand="0" w:evenHBand="1" w:firstRowFirstColumn="0" w:firstRowLastColumn="0" w:lastRowFirstColumn="0" w:lastRowLastColumn="0"/>
        </w:trPr>
        <w:tc>
          <w:tcPr>
            <w:tcW w:w="5035" w:type="dxa"/>
          </w:tcPr>
          <w:p w14:paraId="47E19939" w14:textId="77777777" w:rsidR="00FF05FE" w:rsidRPr="004B3396" w:rsidRDefault="00FF05FE" w:rsidP="00265E58">
            <w:pPr>
              <w:jc w:val="center"/>
              <w:rPr>
                <w:sz w:val="22"/>
                <w:szCs w:val="22"/>
              </w:rPr>
            </w:pPr>
            <w:r w:rsidRPr="00FF695A">
              <w:t>April 1 to June 30</w:t>
            </w:r>
          </w:p>
        </w:tc>
        <w:tc>
          <w:tcPr>
            <w:tcW w:w="5035" w:type="dxa"/>
          </w:tcPr>
          <w:p w14:paraId="34BFFFD7" w14:textId="377ED180" w:rsidR="00FF05FE" w:rsidRPr="004B3396" w:rsidRDefault="00FF05FE" w:rsidP="00265E58">
            <w:pPr>
              <w:jc w:val="center"/>
              <w:rPr>
                <w:sz w:val="22"/>
                <w:szCs w:val="22"/>
              </w:rPr>
            </w:pPr>
            <w:r w:rsidRPr="00FF695A">
              <w:t>Aug</w:t>
            </w:r>
            <w:r w:rsidR="00FF695A">
              <w:rPr>
                <w:sz w:val="22"/>
                <w:szCs w:val="22"/>
              </w:rPr>
              <w:t>.</w:t>
            </w:r>
            <w:r w:rsidRPr="00FF695A">
              <w:t xml:space="preserve"> 1</w:t>
            </w:r>
          </w:p>
        </w:tc>
      </w:tr>
    </w:tbl>
    <w:p w14:paraId="4F6393F1" w14:textId="59DB3CDF" w:rsidR="00B67AF2" w:rsidRDefault="00FF05FE" w:rsidP="00B67AF2">
      <w:r>
        <w:t>The final report and final invoice are due 45 business days after the contract end date.</w:t>
      </w:r>
    </w:p>
    <w:p w14:paraId="43B295E4" w14:textId="14D37C83" w:rsidR="008B68B8" w:rsidRDefault="00441910" w:rsidP="00BE7426">
      <w:pPr>
        <w:pStyle w:val="Heading2"/>
      </w:pPr>
      <w:r>
        <w:t>9</w:t>
      </w:r>
      <w:r w:rsidR="008B68B8">
        <w:t>. DLI monitoring of grantee performance</w:t>
      </w:r>
    </w:p>
    <w:p w14:paraId="352D1842" w14:textId="3062D4F4" w:rsidR="008B68B8" w:rsidRDefault="00EC62F1" w:rsidP="008B68B8">
      <w:hyperlink r:id="rId13" w:history="1">
        <w:r w:rsidR="008B68B8" w:rsidRPr="00595A74">
          <w:rPr>
            <w:rStyle w:val="Hyperlink"/>
          </w:rPr>
          <w:t>Minn</w:t>
        </w:r>
        <w:r w:rsidR="00FF695A">
          <w:rPr>
            <w:rStyle w:val="Hyperlink"/>
          </w:rPr>
          <w:t>esota</w:t>
        </w:r>
        <w:r w:rsidR="008B68B8" w:rsidRPr="00595A74">
          <w:rPr>
            <w:rStyle w:val="Hyperlink"/>
          </w:rPr>
          <w:t xml:space="preserve"> Stat</w:t>
        </w:r>
        <w:r w:rsidR="00FF695A">
          <w:rPr>
            <w:rStyle w:val="Hyperlink"/>
          </w:rPr>
          <w:t>utes</w:t>
        </w:r>
        <w:r w:rsidR="008B68B8" w:rsidRPr="00595A74">
          <w:rPr>
            <w:rStyle w:val="Hyperlink"/>
          </w:rPr>
          <w:t xml:space="preserve"> §16B.97</w:t>
        </w:r>
      </w:hyperlink>
      <w:r w:rsidR="008B68B8">
        <w:t xml:space="preserve"> and </w:t>
      </w:r>
      <w:hyperlink r:id="rId14" w:history="1">
        <w:r w:rsidR="008B68B8" w:rsidRPr="00BE7426">
          <w:rPr>
            <w:rStyle w:val="Hyperlink"/>
          </w:rPr>
          <w:t>Policy 08-1</w:t>
        </w:r>
        <w:r w:rsidR="00FF695A">
          <w:rPr>
            <w:rStyle w:val="Hyperlink"/>
          </w:rPr>
          <w:t>0 Grant Monitoring</w:t>
        </w:r>
      </w:hyperlink>
      <w:r w:rsidR="008B68B8">
        <w:t xml:space="preserve"> require the following:</w:t>
      </w:r>
    </w:p>
    <w:p w14:paraId="1E0859F2" w14:textId="67897DE7" w:rsidR="008B68B8" w:rsidRDefault="008B68B8" w:rsidP="00B9616E">
      <w:pPr>
        <w:pStyle w:val="ListParagraph"/>
        <w:numPr>
          <w:ilvl w:val="0"/>
          <w:numId w:val="9"/>
        </w:numPr>
      </w:pPr>
      <w:r>
        <w:t>One monitoring visit during the grant period on all state grants of $50,000 and higher</w:t>
      </w:r>
      <w:r w:rsidR="00833007">
        <w:t>.</w:t>
      </w:r>
    </w:p>
    <w:p w14:paraId="416F54B5" w14:textId="20B00819" w:rsidR="008B68B8" w:rsidRDefault="008B68B8" w:rsidP="00B9616E">
      <w:pPr>
        <w:pStyle w:val="ListParagraph"/>
        <w:numPr>
          <w:ilvl w:val="0"/>
          <w:numId w:val="9"/>
        </w:numPr>
      </w:pPr>
      <w:r>
        <w:t>Annual monitoring visits during the grant period on all grants of $250,000 and higher</w:t>
      </w:r>
      <w:r w:rsidR="00833007">
        <w:t>.</w:t>
      </w:r>
    </w:p>
    <w:p w14:paraId="3391ABE1" w14:textId="72894F3D" w:rsidR="00F525D5" w:rsidRDefault="008B68B8" w:rsidP="00B9616E">
      <w:pPr>
        <w:pStyle w:val="ListParagraph"/>
        <w:numPr>
          <w:ilvl w:val="0"/>
          <w:numId w:val="9"/>
        </w:numPr>
      </w:pPr>
      <w:r>
        <w:t xml:space="preserve">Conducting a financial reconciliation of grantee’s expenditures at least once during the grant period on grants of $50,000 and higher. For this purpose, the grantee must make expense receipts, employee timesheets, invoices and any other supporting documents available upon request by the </w:t>
      </w:r>
      <w:r w:rsidR="00FF695A">
        <w:t>s</w:t>
      </w:r>
      <w:r>
        <w:t>tate.</w:t>
      </w:r>
    </w:p>
    <w:p w14:paraId="5E9CF1DA" w14:textId="2C783C0B" w:rsidR="00530032" w:rsidRDefault="00441910" w:rsidP="00530032">
      <w:pPr>
        <w:pStyle w:val="Heading2"/>
      </w:pPr>
      <w:r>
        <w:t>10</w:t>
      </w:r>
      <w:r w:rsidR="00530032">
        <w:t xml:space="preserve">. </w:t>
      </w:r>
      <w:r w:rsidR="00EB3A9C">
        <w:t>P</w:t>
      </w:r>
      <w:r w:rsidR="00530032">
        <w:t>ayments to grantee</w:t>
      </w:r>
    </w:p>
    <w:p w14:paraId="0203F183" w14:textId="7A15B727" w:rsidR="00F525D5" w:rsidRDefault="00530032" w:rsidP="00530032">
      <w:r>
        <w:t xml:space="preserve">Per </w:t>
      </w:r>
      <w:hyperlink r:id="rId15" w:history="1">
        <w:r w:rsidRPr="00EC2A04">
          <w:rPr>
            <w:rStyle w:val="Hyperlink"/>
          </w:rPr>
          <w:t>Policy 08-08</w:t>
        </w:r>
      </w:hyperlink>
      <w:r w:rsidR="00FF695A">
        <w:t xml:space="preserve">, </w:t>
      </w:r>
      <w:r>
        <w:t xml:space="preserve">reimbursement is the preferred method for making grant payments. All grantee requests for reimbursement must correspond to the approved grant budget. The </w:t>
      </w:r>
      <w:r w:rsidR="00FF695A">
        <w:t>s</w:t>
      </w:r>
      <w:r>
        <w:t xml:space="preserve">tate shall review each request for reimbursement against the approved grant budget, grant expenditures to-date and the latest grant progress report before approving payment. Grant payments shall not be made on grants with past due progress reports unless DLI has given the grantee a written extension. Payments will be made through the </w:t>
      </w:r>
      <w:r w:rsidR="00032E74">
        <w:t>s</w:t>
      </w:r>
      <w:r>
        <w:t xml:space="preserve">tate’s </w:t>
      </w:r>
      <w:r w:rsidR="00032E74">
        <w:t>State</w:t>
      </w:r>
      <w:r w:rsidR="0036708C">
        <w:t xml:space="preserve"> </w:t>
      </w:r>
      <w:r w:rsidR="00D559DD">
        <w:t>Wide Integrated Financial Tools</w:t>
      </w:r>
      <w:r w:rsidR="00032E74">
        <w:t xml:space="preserve"> </w:t>
      </w:r>
      <w:r>
        <w:t>accounting system.</w:t>
      </w:r>
    </w:p>
    <w:p w14:paraId="02506833" w14:textId="6935561A" w:rsidR="000F075E" w:rsidRDefault="00441910" w:rsidP="000F075E">
      <w:pPr>
        <w:pStyle w:val="Heading2"/>
      </w:pPr>
      <w:r>
        <w:t>11</w:t>
      </w:r>
      <w:r w:rsidR="00F20589">
        <w:t xml:space="preserve">. </w:t>
      </w:r>
      <w:r w:rsidR="000F075E">
        <w:t>Required financial and grantee capacity review</w:t>
      </w:r>
    </w:p>
    <w:p w14:paraId="61BA2BFD" w14:textId="5C51BA5E" w:rsidR="000F075E" w:rsidRDefault="000F075E" w:rsidP="000F075E">
      <w:r>
        <w:t>Minn. Stat. §16B.981/</w:t>
      </w:r>
      <w:hyperlink r:id="rId16" w:history="1">
        <w:r w:rsidRPr="00541E7F">
          <w:rPr>
            <w:rStyle w:val="Hyperlink"/>
          </w:rPr>
          <w:t>Chapter 62 - MN Laws</w:t>
        </w:r>
      </w:hyperlink>
      <w:r>
        <w:t>, Article 7, Section 11</w:t>
      </w:r>
      <w:r w:rsidR="001A367C">
        <w:t>,</w:t>
      </w:r>
      <w:r>
        <w:t xml:space="preserve"> requires that a pre-award risk assessment is conducted for grant awards of $50,000 or more.</w:t>
      </w:r>
    </w:p>
    <w:p w14:paraId="3E368359" w14:textId="2E204369" w:rsidR="000F075E" w:rsidRDefault="000F075E" w:rsidP="000F075E">
      <w:r>
        <w:t xml:space="preserve">All grantees as defined in Minn. Stat. §16B.981 Subd. 1 (c) applying for grants in Minnesota must undergo a financial and capacity review prior to a grant award of $50,000 and higher. </w:t>
      </w:r>
    </w:p>
    <w:p w14:paraId="4C59B02B" w14:textId="77777777" w:rsidR="000F075E" w:rsidRDefault="000F075E" w:rsidP="000F075E">
      <w:r>
        <w:t xml:space="preserve">In order to comply with this requirement, the following information and documents will need to be submitted before the grant contract agreement is fully executed. </w:t>
      </w:r>
    </w:p>
    <w:p w14:paraId="27C83C5C" w14:textId="3913CA7F" w:rsidR="000F075E" w:rsidRPr="00691BA0" w:rsidRDefault="000F075E" w:rsidP="36AC3487">
      <w:pPr>
        <w:pStyle w:val="NoSpacing"/>
        <w:numPr>
          <w:ilvl w:val="0"/>
          <w:numId w:val="44"/>
        </w:numPr>
        <w:rPr>
          <w:b/>
          <w:bCs/>
        </w:rPr>
      </w:pPr>
      <w:r w:rsidRPr="36AC3487">
        <w:rPr>
          <w:b/>
          <w:bCs/>
        </w:rPr>
        <w:t xml:space="preserve">Capacity </w:t>
      </w:r>
      <w:r w:rsidR="18BC0D6D" w:rsidRPr="36AC3487">
        <w:rPr>
          <w:b/>
          <w:bCs/>
        </w:rPr>
        <w:t>r</w:t>
      </w:r>
      <w:r w:rsidRPr="36AC3487">
        <w:rPr>
          <w:b/>
          <w:bCs/>
        </w:rPr>
        <w:t>esponses:</w:t>
      </w:r>
      <w:r w:rsidR="00321EBF" w:rsidRPr="36AC3487">
        <w:rPr>
          <w:b/>
          <w:bCs/>
        </w:rPr>
        <w:t xml:space="preserve">  </w:t>
      </w:r>
      <w:r w:rsidRPr="36AC3487">
        <w:rPr>
          <w:b/>
          <w:bCs/>
        </w:rPr>
        <w:t xml:space="preserve">All potential grantees: </w:t>
      </w:r>
      <w:r w:rsidR="00321EBF" w:rsidRPr="36AC3487">
        <w:rPr>
          <w:b/>
          <w:bCs/>
        </w:rPr>
        <w:t xml:space="preserve"> </w:t>
      </w:r>
      <w:r w:rsidRPr="36AC3487">
        <w:rPr>
          <w:b/>
          <w:bCs/>
        </w:rPr>
        <w:t>Exhibit A</w:t>
      </w:r>
    </w:p>
    <w:p w14:paraId="47C06DFD" w14:textId="474C2D0C" w:rsidR="000F075E" w:rsidRPr="00691BA0" w:rsidRDefault="00FC2F01" w:rsidP="000F075E">
      <w:pPr>
        <w:pStyle w:val="NoSpacing"/>
        <w:numPr>
          <w:ilvl w:val="0"/>
          <w:numId w:val="45"/>
        </w:numPr>
        <w:rPr>
          <w:rFonts w:cstheme="minorHAnsi"/>
        </w:rPr>
      </w:pPr>
      <w:r>
        <w:rPr>
          <w:rFonts w:cstheme="minorHAnsi"/>
        </w:rPr>
        <w:t>D</w:t>
      </w:r>
      <w:r w:rsidR="000F075E" w:rsidRPr="00691BA0">
        <w:rPr>
          <w:rFonts w:cstheme="minorHAnsi"/>
        </w:rPr>
        <w:t>escribe your history of performing the work that will be funded by the grant:</w:t>
      </w:r>
    </w:p>
    <w:p w14:paraId="3C485136" w14:textId="77777777" w:rsidR="000F075E" w:rsidRPr="00691BA0" w:rsidRDefault="000F075E" w:rsidP="000F075E">
      <w:pPr>
        <w:pStyle w:val="NoSpacing"/>
        <w:numPr>
          <w:ilvl w:val="1"/>
          <w:numId w:val="45"/>
        </w:numPr>
        <w:rPr>
          <w:rFonts w:cstheme="minorHAnsi"/>
        </w:rPr>
      </w:pPr>
      <w:r w:rsidRPr="00691BA0">
        <w:rPr>
          <w:rFonts w:cstheme="minorHAnsi"/>
        </w:rPr>
        <w:t>This includes describing your organization’s current staffing, current budget and agency capacity to successfully conduct and administer grant programming.</w:t>
      </w:r>
    </w:p>
    <w:p w14:paraId="3D605757" w14:textId="77777777" w:rsidR="000F075E" w:rsidRPr="00691BA0" w:rsidRDefault="000F075E" w:rsidP="000F075E">
      <w:pPr>
        <w:pStyle w:val="NoSpacing"/>
        <w:ind w:left="1440"/>
        <w:rPr>
          <w:rFonts w:cstheme="minorHAnsi"/>
        </w:rPr>
      </w:pPr>
    </w:p>
    <w:p w14:paraId="34036C76" w14:textId="76DDC9F7" w:rsidR="000F075E" w:rsidRPr="00691BA0" w:rsidRDefault="000F075E" w:rsidP="000F075E">
      <w:pPr>
        <w:pStyle w:val="NoSpacing"/>
        <w:numPr>
          <w:ilvl w:val="0"/>
          <w:numId w:val="44"/>
        </w:numPr>
        <w:rPr>
          <w:rFonts w:cstheme="minorHAnsi"/>
          <w:b/>
          <w:bCs/>
        </w:rPr>
      </w:pPr>
      <w:r w:rsidRPr="00691BA0">
        <w:rPr>
          <w:rFonts w:cstheme="minorHAnsi"/>
          <w:b/>
          <w:bCs/>
        </w:rPr>
        <w:t xml:space="preserve">Certification:  No current principals have been convicted of a felony financial crime in the last ten years: All potential Grantees: </w:t>
      </w:r>
      <w:r w:rsidR="00321EBF" w:rsidRPr="00691BA0">
        <w:rPr>
          <w:rFonts w:cstheme="minorHAnsi"/>
          <w:b/>
          <w:bCs/>
        </w:rPr>
        <w:t xml:space="preserve"> </w:t>
      </w:r>
      <w:r w:rsidRPr="00691BA0">
        <w:rPr>
          <w:rFonts w:cstheme="minorHAnsi"/>
          <w:b/>
          <w:bCs/>
        </w:rPr>
        <w:t>Exhibit B</w:t>
      </w:r>
    </w:p>
    <w:p w14:paraId="0264CC21" w14:textId="77777777" w:rsidR="000F075E" w:rsidRPr="00691BA0" w:rsidRDefault="000F075E" w:rsidP="000F075E">
      <w:pPr>
        <w:pStyle w:val="NoSpacing"/>
        <w:ind w:left="1440"/>
        <w:rPr>
          <w:rFonts w:cstheme="minorHAnsi"/>
        </w:rPr>
      </w:pPr>
    </w:p>
    <w:p w14:paraId="6FF7B89F" w14:textId="50690711" w:rsidR="000F075E" w:rsidRPr="00691BA0" w:rsidRDefault="000F075E" w:rsidP="000F075E">
      <w:pPr>
        <w:pStyle w:val="NoSpacing"/>
        <w:numPr>
          <w:ilvl w:val="0"/>
          <w:numId w:val="44"/>
        </w:numPr>
        <w:rPr>
          <w:rFonts w:cstheme="minorHAnsi"/>
          <w:b/>
          <w:bCs/>
        </w:rPr>
      </w:pPr>
      <w:r w:rsidRPr="00691BA0">
        <w:rPr>
          <w:rFonts w:cstheme="minorHAnsi"/>
          <w:b/>
          <w:bCs/>
        </w:rPr>
        <w:t xml:space="preserve">Evidence of good standing: </w:t>
      </w:r>
      <w:r w:rsidR="00321EBF" w:rsidRPr="00691BA0">
        <w:rPr>
          <w:rFonts w:cstheme="minorHAnsi"/>
          <w:b/>
          <w:bCs/>
        </w:rPr>
        <w:t xml:space="preserve"> </w:t>
      </w:r>
      <w:r w:rsidRPr="00691BA0">
        <w:rPr>
          <w:rFonts w:cstheme="minorHAnsi"/>
          <w:b/>
          <w:bCs/>
        </w:rPr>
        <w:t xml:space="preserve">For-profit and nonprofit potential grantees: </w:t>
      </w:r>
      <w:r w:rsidR="00321EBF" w:rsidRPr="00691BA0">
        <w:rPr>
          <w:rFonts w:cstheme="minorHAnsi"/>
          <w:b/>
          <w:bCs/>
        </w:rPr>
        <w:t xml:space="preserve"> </w:t>
      </w:r>
      <w:r w:rsidRPr="00691BA0">
        <w:rPr>
          <w:rFonts w:cstheme="minorHAnsi"/>
          <w:b/>
          <w:bCs/>
        </w:rPr>
        <w:t xml:space="preserve">Exhibit C </w:t>
      </w:r>
    </w:p>
    <w:p w14:paraId="0D72932B" w14:textId="6840EB9E" w:rsidR="000F075E" w:rsidRPr="00691BA0" w:rsidRDefault="000F075E" w:rsidP="36AC3487">
      <w:pPr>
        <w:pStyle w:val="NoSpacing"/>
        <w:numPr>
          <w:ilvl w:val="1"/>
          <w:numId w:val="44"/>
        </w:numPr>
      </w:pPr>
      <w:r w:rsidRPr="36AC3487">
        <w:t xml:space="preserve">For-profit and nonprofit grantees: Filed and </w:t>
      </w:r>
      <w:r w:rsidR="4F6897F4" w:rsidRPr="36AC3487">
        <w:t>up to date</w:t>
      </w:r>
      <w:r w:rsidRPr="36AC3487">
        <w:t xml:space="preserve"> with the Secretary of State</w:t>
      </w:r>
    </w:p>
    <w:p w14:paraId="7F849649" w14:textId="77777777" w:rsidR="000F075E" w:rsidRPr="00691BA0" w:rsidRDefault="000F075E" w:rsidP="000F075E">
      <w:pPr>
        <w:pStyle w:val="NoSpacing"/>
        <w:ind w:left="1440"/>
        <w:rPr>
          <w:rFonts w:cstheme="minorHAnsi"/>
        </w:rPr>
      </w:pPr>
    </w:p>
    <w:p w14:paraId="1C865B2B" w14:textId="70A0590E" w:rsidR="000F075E" w:rsidRPr="00691BA0" w:rsidRDefault="000F075E" w:rsidP="000F075E">
      <w:pPr>
        <w:pStyle w:val="NoSpacing"/>
        <w:numPr>
          <w:ilvl w:val="0"/>
          <w:numId w:val="44"/>
        </w:numPr>
        <w:rPr>
          <w:rFonts w:cstheme="minorHAnsi"/>
        </w:rPr>
      </w:pPr>
      <w:r w:rsidRPr="00691BA0">
        <w:rPr>
          <w:rFonts w:cstheme="minorHAnsi"/>
          <w:b/>
          <w:bCs/>
        </w:rPr>
        <w:t>Nonprofit grantees as applicable</w:t>
      </w:r>
      <w:r w:rsidRPr="00691BA0">
        <w:rPr>
          <w:rFonts w:cstheme="minorHAnsi"/>
        </w:rPr>
        <w:t xml:space="preserve">: </w:t>
      </w:r>
      <w:r w:rsidR="00321EBF" w:rsidRPr="00691BA0">
        <w:rPr>
          <w:rFonts w:cstheme="minorHAnsi"/>
        </w:rPr>
        <w:t xml:space="preserve"> </w:t>
      </w:r>
      <w:r w:rsidRPr="00691BA0">
        <w:rPr>
          <w:rFonts w:cstheme="minorHAnsi"/>
          <w:b/>
          <w:bCs/>
        </w:rPr>
        <w:t>Exhibit D</w:t>
      </w:r>
    </w:p>
    <w:p w14:paraId="696442C8" w14:textId="77777777" w:rsidR="000F075E" w:rsidRPr="00691BA0" w:rsidRDefault="000F075E" w:rsidP="000F075E">
      <w:pPr>
        <w:pStyle w:val="NoSpacing"/>
        <w:numPr>
          <w:ilvl w:val="0"/>
          <w:numId w:val="46"/>
        </w:numPr>
        <w:rPr>
          <w:rFonts w:cstheme="minorHAnsi"/>
        </w:rPr>
      </w:pPr>
      <w:r w:rsidRPr="00691BA0">
        <w:rPr>
          <w:rFonts w:cstheme="minorHAnsi"/>
        </w:rPr>
        <w:t xml:space="preserve">Most recent Form 990 or Form 990-EZ </w:t>
      </w:r>
    </w:p>
    <w:p w14:paraId="4662DB68" w14:textId="77777777" w:rsidR="000F075E" w:rsidRPr="00691BA0" w:rsidRDefault="000F075E" w:rsidP="000F075E">
      <w:pPr>
        <w:pStyle w:val="NoSpacing"/>
        <w:numPr>
          <w:ilvl w:val="0"/>
          <w:numId w:val="46"/>
        </w:numPr>
        <w:rPr>
          <w:rFonts w:cstheme="minorHAnsi"/>
        </w:rPr>
      </w:pPr>
      <w:r w:rsidRPr="00691BA0">
        <w:rPr>
          <w:rFonts w:cstheme="minorHAnsi"/>
        </w:rPr>
        <w:t xml:space="preserve">Most recent audited financial statement of a charitable organization which has received total revenue in excess of $750,000 for the 12 months of operations covered by the statement per </w:t>
      </w:r>
      <w:hyperlink r:id="rId17" w:history="1">
        <w:r w:rsidRPr="00691BA0">
          <w:rPr>
            <w:rStyle w:val="Hyperlink"/>
            <w:rFonts w:cstheme="minorHAnsi"/>
          </w:rPr>
          <w:t xml:space="preserve">Minn. Stat. </w:t>
        </w:r>
        <w:r w:rsidRPr="004B3396">
          <w:rPr>
            <w:rStyle w:val="Hyperlink"/>
            <w:rFonts w:cstheme="minorHAnsi"/>
          </w:rPr>
          <w:t>§</w:t>
        </w:r>
        <w:r w:rsidRPr="00691BA0">
          <w:rPr>
            <w:rStyle w:val="Hyperlink"/>
            <w:rFonts w:cstheme="minorHAnsi"/>
          </w:rPr>
          <w:t>309.53</w:t>
        </w:r>
      </w:hyperlink>
      <w:r w:rsidRPr="00691BA0">
        <w:rPr>
          <w:rFonts w:cstheme="minorHAnsi"/>
        </w:rPr>
        <w:t xml:space="preserve"> </w:t>
      </w:r>
    </w:p>
    <w:p w14:paraId="5987FC12" w14:textId="77777777" w:rsidR="000F075E" w:rsidRPr="00691BA0" w:rsidRDefault="000F075E" w:rsidP="000F075E">
      <w:pPr>
        <w:pStyle w:val="NoSpacing"/>
        <w:numPr>
          <w:ilvl w:val="0"/>
          <w:numId w:val="46"/>
        </w:numPr>
        <w:rPr>
          <w:rFonts w:cstheme="minorHAnsi"/>
        </w:rPr>
      </w:pPr>
      <w:r w:rsidRPr="00691BA0">
        <w:rPr>
          <w:rFonts w:cstheme="minorHAnsi"/>
        </w:rPr>
        <w:t xml:space="preserve">Most recent board-reviewed </w:t>
      </w:r>
      <w:bookmarkStart w:id="3" w:name="_Hlk147418822"/>
      <w:r w:rsidRPr="00691BA0">
        <w:rPr>
          <w:rFonts w:cstheme="minorHAnsi"/>
        </w:rPr>
        <w:t xml:space="preserve">(or managing group if applicable) </w:t>
      </w:r>
      <w:bookmarkEnd w:id="3"/>
      <w:r w:rsidRPr="00691BA0">
        <w:rPr>
          <w:rFonts w:cstheme="minorHAnsi"/>
        </w:rPr>
        <w:t>financial statements, description of internal controls over business expenditures and outcomes of grant funds, if awarded, and evidence of exemption</w:t>
      </w:r>
    </w:p>
    <w:p w14:paraId="40287E6C" w14:textId="1D9C0170" w:rsidR="001924EE" w:rsidRPr="000B53B1" w:rsidRDefault="001924EE" w:rsidP="001924EE">
      <w:pPr>
        <w:rPr>
          <w:rFonts w:asciiTheme="minorHAnsi" w:hAnsiTheme="minorHAnsi" w:cstheme="minorHAnsi"/>
        </w:rPr>
      </w:pPr>
      <w:r w:rsidRPr="00EA6892">
        <w:rPr>
          <w:rFonts w:asciiTheme="minorHAnsi" w:hAnsiTheme="minorHAnsi" w:cstheme="minorHAnsi"/>
        </w:rPr>
        <w:t xml:space="preserve">The submission of inaccurate or misleading information may be grounds for disqualification from the grant contract agreement award and may subject an organization to suspension or debarment proceedings, as well as other remedies available to the </w:t>
      </w:r>
      <w:r w:rsidR="00691BA0">
        <w:rPr>
          <w:rFonts w:asciiTheme="minorHAnsi" w:hAnsiTheme="minorHAnsi" w:cstheme="minorHAnsi"/>
        </w:rPr>
        <w:t>s</w:t>
      </w:r>
      <w:r w:rsidRPr="00EA6892">
        <w:rPr>
          <w:rFonts w:asciiTheme="minorHAnsi" w:hAnsiTheme="minorHAnsi" w:cstheme="minorHAnsi"/>
        </w:rPr>
        <w:t>tate, by law.</w:t>
      </w:r>
    </w:p>
    <w:p w14:paraId="6C86BF09" w14:textId="77777777" w:rsidR="001924EE" w:rsidRDefault="001924EE" w:rsidP="001924EE">
      <w:pPr>
        <w:pStyle w:val="NoSpacing"/>
        <w:rPr>
          <w:rFonts w:cstheme="minorHAnsi"/>
        </w:rPr>
      </w:pPr>
      <w:r>
        <w:rPr>
          <w:rFonts w:ascii="Calibri" w:hAnsi="Calibri" w:cs="Calibri"/>
          <w:color w:val="000000"/>
        </w:rPr>
        <w:t xml:space="preserve">Based on </w:t>
      </w:r>
      <w:r w:rsidRPr="0041482B">
        <w:rPr>
          <w:rFonts w:ascii="Calibri" w:hAnsi="Calibri" w:cs="Calibri"/>
          <w:color w:val="000000"/>
        </w:rPr>
        <w:t>Minn. Stat. §16B.981</w:t>
      </w:r>
      <w:r>
        <w:rPr>
          <w:rFonts w:ascii="Calibri" w:hAnsi="Calibri" w:cs="Calibri"/>
          <w:color w:val="000000"/>
        </w:rPr>
        <w:t>/</w:t>
      </w:r>
      <w:hyperlink r:id="rId18" w:history="1">
        <w:r w:rsidRPr="0041482B">
          <w:rPr>
            <w:rStyle w:val="Hyperlink"/>
            <w:rFonts w:cstheme="minorHAnsi"/>
          </w:rPr>
          <w:t>Chapter 62 - MN Laws</w:t>
        </w:r>
      </w:hyperlink>
      <w:r>
        <w:rPr>
          <w:rFonts w:cstheme="minorHAnsi"/>
        </w:rPr>
        <w:t>, Article 7, Section 11, Subd. 3-5 establishes the authority for a granting agency to:</w:t>
      </w:r>
    </w:p>
    <w:p w14:paraId="085BB941" w14:textId="63ED51E5" w:rsidR="001924EE" w:rsidRPr="00475FC4" w:rsidRDefault="001924EE" w:rsidP="001924EE">
      <w:pPr>
        <w:pStyle w:val="NoSpacing"/>
        <w:numPr>
          <w:ilvl w:val="0"/>
          <w:numId w:val="52"/>
        </w:numPr>
        <w:rPr>
          <w:rFonts w:cs="Times New Roman"/>
        </w:rPr>
      </w:pPr>
      <w:r>
        <w:rPr>
          <w:rFonts w:cstheme="minorHAnsi"/>
        </w:rPr>
        <w:t>Provide or require enhanced grant oversight</w:t>
      </w:r>
      <w:r w:rsidR="0099629B">
        <w:rPr>
          <w:rFonts w:cstheme="minorHAnsi"/>
        </w:rPr>
        <w:t>.</w:t>
      </w:r>
    </w:p>
    <w:p w14:paraId="41DEA531" w14:textId="77777777" w:rsidR="001924EE" w:rsidRPr="00475FC4" w:rsidRDefault="001924EE" w:rsidP="001924EE">
      <w:pPr>
        <w:pStyle w:val="NoSpacing"/>
        <w:numPr>
          <w:ilvl w:val="0"/>
          <w:numId w:val="52"/>
        </w:numPr>
        <w:rPr>
          <w:rFonts w:cs="Times New Roman"/>
        </w:rPr>
      </w:pPr>
      <w:r w:rsidRPr="00475FC4">
        <w:rPr>
          <w:rFonts w:cstheme="minorHAnsi"/>
        </w:rPr>
        <w:t>Request additional information from a potential grantee to determine whether there is a substantial risk that the potential grantee cannot or would not perform the required duties of the grant agreement.</w:t>
      </w:r>
    </w:p>
    <w:p w14:paraId="15741395" w14:textId="4E94C1FB" w:rsidR="001924EE" w:rsidRPr="00E509A6" w:rsidRDefault="001924EE" w:rsidP="001924EE">
      <w:pPr>
        <w:pStyle w:val="NoSpacing"/>
        <w:numPr>
          <w:ilvl w:val="1"/>
          <w:numId w:val="51"/>
        </w:numPr>
        <w:rPr>
          <w:rFonts w:cs="Times New Roman"/>
        </w:rPr>
      </w:pPr>
      <w:r>
        <w:rPr>
          <w:rFonts w:cstheme="minorHAnsi"/>
        </w:rPr>
        <w:t>The potential grantee has 30 business days to respond</w:t>
      </w:r>
      <w:r w:rsidR="0099629B">
        <w:rPr>
          <w:rFonts w:cstheme="minorHAnsi"/>
        </w:rPr>
        <w:t>.</w:t>
      </w:r>
      <w:r>
        <w:rPr>
          <w:rFonts w:cstheme="minorHAnsi"/>
        </w:rPr>
        <w:t xml:space="preserve"> </w:t>
      </w:r>
    </w:p>
    <w:p w14:paraId="211FF93F" w14:textId="586DC114" w:rsidR="001924EE" w:rsidRPr="00E509A6" w:rsidRDefault="001924EE" w:rsidP="001924EE">
      <w:pPr>
        <w:pStyle w:val="NoSpacing"/>
        <w:numPr>
          <w:ilvl w:val="0"/>
          <w:numId w:val="51"/>
        </w:numPr>
        <w:rPr>
          <w:rFonts w:cs="Times New Roman"/>
        </w:rPr>
      </w:pPr>
      <w:r>
        <w:rPr>
          <w:rFonts w:cstheme="minorHAnsi"/>
        </w:rPr>
        <w:t>Develop a plan to address the risk or concerns identified</w:t>
      </w:r>
      <w:r w:rsidR="0099629B">
        <w:rPr>
          <w:rFonts w:cstheme="minorHAnsi"/>
        </w:rPr>
        <w:t>.</w:t>
      </w:r>
    </w:p>
    <w:p w14:paraId="62A9AF9D" w14:textId="77777777" w:rsidR="001924EE" w:rsidRPr="00475FC4" w:rsidRDefault="001924EE" w:rsidP="001924EE">
      <w:pPr>
        <w:pStyle w:val="NoSpacing"/>
        <w:numPr>
          <w:ilvl w:val="0"/>
          <w:numId w:val="51"/>
        </w:numPr>
        <w:rPr>
          <w:rFonts w:cs="Times New Roman"/>
        </w:rPr>
      </w:pPr>
      <w:r>
        <w:rPr>
          <w:rFonts w:cstheme="minorHAnsi"/>
        </w:rPr>
        <w:t>Not award the grant.</w:t>
      </w:r>
    </w:p>
    <w:p w14:paraId="22C3100D" w14:textId="04928215" w:rsidR="001924EE" w:rsidRPr="00475FC4" w:rsidRDefault="001924EE" w:rsidP="001924EE">
      <w:pPr>
        <w:pStyle w:val="NoSpacing"/>
        <w:numPr>
          <w:ilvl w:val="1"/>
          <w:numId w:val="51"/>
        </w:numPr>
        <w:rPr>
          <w:rFonts w:cs="Times New Roman"/>
        </w:rPr>
      </w:pPr>
      <w:r>
        <w:rPr>
          <w:rFonts w:cstheme="minorHAnsi"/>
        </w:rPr>
        <w:t xml:space="preserve">The granting agency must provide notice of this determination to not award the grant to the grantee and the </w:t>
      </w:r>
      <w:r w:rsidR="0099629B">
        <w:rPr>
          <w:rFonts w:cstheme="minorHAnsi"/>
        </w:rPr>
        <w:t>c</w:t>
      </w:r>
      <w:r>
        <w:rPr>
          <w:rFonts w:cstheme="minorHAnsi"/>
        </w:rPr>
        <w:t xml:space="preserve">ommissioner of </w:t>
      </w:r>
      <w:r w:rsidR="0099629B">
        <w:rPr>
          <w:rFonts w:cstheme="minorHAnsi"/>
        </w:rPr>
        <w:t>a</w:t>
      </w:r>
      <w:r>
        <w:rPr>
          <w:rFonts w:cstheme="minorHAnsi"/>
        </w:rPr>
        <w:t>dministration.</w:t>
      </w:r>
    </w:p>
    <w:p w14:paraId="304B796C" w14:textId="77777777" w:rsidR="001924EE" w:rsidRPr="00DE18DA" w:rsidRDefault="001924EE" w:rsidP="001924EE">
      <w:pPr>
        <w:pStyle w:val="NoSpacing"/>
        <w:numPr>
          <w:ilvl w:val="1"/>
          <w:numId w:val="51"/>
        </w:numPr>
        <w:rPr>
          <w:rFonts w:cs="Times New Roman"/>
        </w:rPr>
      </w:pPr>
      <w:r>
        <w:rPr>
          <w:rFonts w:cstheme="minorHAnsi"/>
        </w:rPr>
        <w:t>The notice must include the following:</w:t>
      </w:r>
    </w:p>
    <w:p w14:paraId="5A7DEEA3" w14:textId="03951C66" w:rsidR="001924EE" w:rsidRPr="00DE18DA" w:rsidRDefault="001924EE" w:rsidP="001924EE">
      <w:pPr>
        <w:pStyle w:val="NoSpacing"/>
        <w:numPr>
          <w:ilvl w:val="2"/>
          <w:numId w:val="51"/>
        </w:numPr>
        <w:rPr>
          <w:rFonts w:cs="Times New Roman"/>
        </w:rPr>
      </w:pPr>
      <w:r w:rsidRPr="00DE18DA">
        <w:rPr>
          <w:rFonts w:cstheme="minorHAnsi"/>
        </w:rPr>
        <w:t>The reason for postponing</w:t>
      </w:r>
      <w:r w:rsidR="0099629B">
        <w:rPr>
          <w:rFonts w:cstheme="minorHAnsi"/>
        </w:rPr>
        <w:t xml:space="preserve"> or </w:t>
      </w:r>
      <w:r w:rsidRPr="00DE18DA">
        <w:rPr>
          <w:rFonts w:cstheme="minorHAnsi"/>
        </w:rPr>
        <w:t>not awarding the grant</w:t>
      </w:r>
      <w:r w:rsidR="0099629B">
        <w:rPr>
          <w:rFonts w:cstheme="minorHAnsi"/>
        </w:rPr>
        <w:t>.</w:t>
      </w:r>
    </w:p>
    <w:p w14:paraId="2C38CB38" w14:textId="0B328BA8" w:rsidR="001924EE" w:rsidRPr="00D8497D" w:rsidRDefault="001924EE" w:rsidP="001924EE">
      <w:pPr>
        <w:pStyle w:val="NoSpacing"/>
        <w:numPr>
          <w:ilvl w:val="2"/>
          <w:numId w:val="51"/>
        </w:numPr>
        <w:ind w:left="2203"/>
        <w:rPr>
          <w:rFonts w:cs="Times New Roman"/>
        </w:rPr>
      </w:pPr>
      <w:r>
        <w:rPr>
          <w:rFonts w:cstheme="minorHAnsi"/>
        </w:rPr>
        <w:t>The timeline for the process for contesting the agency’s decision</w:t>
      </w:r>
      <w:r w:rsidR="0099629B">
        <w:rPr>
          <w:rFonts w:cstheme="minorHAnsi"/>
        </w:rPr>
        <w:t>.</w:t>
      </w:r>
    </w:p>
    <w:p w14:paraId="3C14AD70" w14:textId="77777777" w:rsidR="001924EE" w:rsidRDefault="001924EE" w:rsidP="008056A1">
      <w:pPr>
        <w:pStyle w:val="NoSpacing"/>
        <w:rPr>
          <w:rFonts w:cs="Times New Roman"/>
        </w:rPr>
      </w:pPr>
    </w:p>
    <w:p w14:paraId="7ED98AA2" w14:textId="4BCE4FAA" w:rsidR="00265451" w:rsidRDefault="00463316" w:rsidP="00265451">
      <w:pPr>
        <w:pStyle w:val="Heading2"/>
      </w:pPr>
      <w:r>
        <w:t>1</w:t>
      </w:r>
      <w:r w:rsidR="00441910">
        <w:t>2</w:t>
      </w:r>
      <w:r w:rsidR="00265451">
        <w:t xml:space="preserve">. </w:t>
      </w:r>
      <w:r w:rsidR="000F075E">
        <w:t>A</w:t>
      </w:r>
      <w:r w:rsidR="00265451">
        <w:t>udit of grantee’s records</w:t>
      </w:r>
    </w:p>
    <w:p w14:paraId="2429EF59" w14:textId="042D39F1" w:rsidR="004D1B35" w:rsidRDefault="00265451" w:rsidP="00265451">
      <w:r>
        <w:t xml:space="preserve">Per </w:t>
      </w:r>
      <w:hyperlink r:id="rId19" w:history="1">
        <w:r w:rsidRPr="00C969E4">
          <w:rPr>
            <w:rStyle w:val="Hyperlink"/>
          </w:rPr>
          <w:t>Minn. Stat. §16B.98</w:t>
        </w:r>
      </w:hyperlink>
      <w:r>
        <w:t xml:space="preserve"> Subdivision 8, the grantee’s books, records, documents and accounting procedures and practices of the grantee or other party that are relevant to the grant or transaction are subject to examination by the granting agency and either the legislative auditor or the state auditor, as appropriate. This requirement will last for a minimum of six years from the grant contract agreement end date, receipt and approval of all final reports, or the required period of time to satisfy all state and program retention requirements, whichever is later.</w:t>
      </w:r>
    </w:p>
    <w:p w14:paraId="1A4E9F26" w14:textId="0A6F3473" w:rsidR="004F710D" w:rsidRPr="00B9616E" w:rsidRDefault="00E6430B" w:rsidP="004F710D">
      <w:pPr>
        <w:pStyle w:val="Heading2"/>
        <w:rPr>
          <w:color w:val="auto"/>
        </w:rPr>
      </w:pPr>
      <w:r>
        <w:t>1</w:t>
      </w:r>
      <w:r w:rsidR="00441910">
        <w:t>3</w:t>
      </w:r>
      <w:r>
        <w:t xml:space="preserve">. </w:t>
      </w:r>
      <w:r w:rsidR="004F710D">
        <w:t>Grantee requirements when bidding grant</w:t>
      </w:r>
      <w:r w:rsidR="0068481A">
        <w:t>-</w:t>
      </w:r>
      <w:r w:rsidR="004F710D">
        <w:t xml:space="preserve">related work </w:t>
      </w:r>
    </w:p>
    <w:p w14:paraId="62DBD538" w14:textId="673BC683" w:rsidR="00865076" w:rsidRPr="00B9616E" w:rsidRDefault="004F710D" w:rsidP="00B9616E">
      <w:pPr>
        <w:pStyle w:val="ListParagraph"/>
        <w:numPr>
          <w:ilvl w:val="0"/>
          <w:numId w:val="11"/>
        </w:numPr>
      </w:pPr>
      <w:r w:rsidRPr="00B9616E">
        <w:rPr>
          <w:b/>
          <w:bCs/>
        </w:rPr>
        <w:t xml:space="preserve">For </w:t>
      </w:r>
      <w:r w:rsidR="00833007">
        <w:rPr>
          <w:b/>
          <w:bCs/>
        </w:rPr>
        <w:t>n</w:t>
      </w:r>
      <w:r w:rsidRPr="00B9616E">
        <w:rPr>
          <w:b/>
          <w:bCs/>
        </w:rPr>
        <w:t>ongovernmental organizations:</w:t>
      </w:r>
      <w:r w:rsidRPr="00B9616E">
        <w:t xml:space="preserve"> </w:t>
      </w:r>
      <w:r w:rsidR="00B9616E">
        <w:t xml:space="preserve">  </w:t>
      </w:r>
    </w:p>
    <w:p w14:paraId="03AAD840" w14:textId="7B3B8C44" w:rsidR="004F710D" w:rsidRDefault="004F710D" w:rsidP="00B9616E">
      <w:pPr>
        <w:pStyle w:val="ListParagraph"/>
        <w:numPr>
          <w:ilvl w:val="0"/>
          <w:numId w:val="12"/>
        </w:numPr>
        <w:ind w:left="1080"/>
      </w:pPr>
      <w:r w:rsidRPr="00B9616E">
        <w:t>Any grant-funded services and</w:t>
      </w:r>
      <w:r w:rsidR="0068481A">
        <w:t xml:space="preserve"> </w:t>
      </w:r>
      <w:r w:rsidRPr="00B9616E">
        <w:t>materials</w:t>
      </w:r>
      <w:r>
        <w:t xml:space="preserve"> that are expected to cost:</w:t>
      </w:r>
    </w:p>
    <w:p w14:paraId="6A9FD956" w14:textId="7E72EA1C" w:rsidR="004F710D" w:rsidRDefault="004F710D" w:rsidP="00B9616E">
      <w:pPr>
        <w:pStyle w:val="ListParagraph"/>
        <w:numPr>
          <w:ilvl w:val="0"/>
          <w:numId w:val="13"/>
        </w:numPr>
      </w:pPr>
      <w:r>
        <w:t xml:space="preserve">Between $25,000 and $99,999 must be competitively awarded based on a minimum of three verbal quotes or bids. </w:t>
      </w:r>
    </w:p>
    <w:p w14:paraId="1161ACD5" w14:textId="3F85B54A" w:rsidR="004F710D" w:rsidRDefault="004F710D" w:rsidP="00B9616E">
      <w:pPr>
        <w:pStyle w:val="ListParagraph"/>
        <w:numPr>
          <w:ilvl w:val="0"/>
          <w:numId w:val="13"/>
        </w:numPr>
      </w:pPr>
      <w:r>
        <w:t>Between $10,000 and $24,999 must be competitively awarded based on a minimum of two verbal quotes or bids or awarded to a targeted vendor.</w:t>
      </w:r>
    </w:p>
    <w:p w14:paraId="0E65BFD4" w14:textId="6DF303BE" w:rsidR="004F710D" w:rsidRDefault="004F710D" w:rsidP="00B9616E">
      <w:pPr>
        <w:pStyle w:val="ListParagraph"/>
        <w:numPr>
          <w:ilvl w:val="0"/>
          <w:numId w:val="12"/>
        </w:numPr>
        <w:ind w:left="1080"/>
      </w:pPr>
      <w:r>
        <w:t>The grantee must take all necessary affirmative steps to assure that targeted vendors from businesses with active certifications through these entities are used when possible:</w:t>
      </w:r>
    </w:p>
    <w:p w14:paraId="707CF3D7" w14:textId="3681167F" w:rsidR="004F710D" w:rsidRDefault="00EC62F1" w:rsidP="00B9616E">
      <w:pPr>
        <w:pStyle w:val="ListParagraph"/>
        <w:numPr>
          <w:ilvl w:val="0"/>
          <w:numId w:val="14"/>
        </w:numPr>
      </w:pPr>
      <w:hyperlink r:id="rId20" w:history="1">
        <w:r w:rsidR="004F710D" w:rsidRPr="000E6127">
          <w:rPr>
            <w:rStyle w:val="Hyperlink"/>
          </w:rPr>
          <w:t>State Department of Administration's Certified Targeted Group, Economically Disadvantaged and Veteran-Owned Vendor List</w:t>
        </w:r>
      </w:hyperlink>
      <w:r w:rsidR="00572EF1">
        <w:t>.</w:t>
      </w:r>
    </w:p>
    <w:p w14:paraId="6A9EDC14" w14:textId="30992F8A" w:rsidR="00377473" w:rsidRDefault="004F710D" w:rsidP="00377473">
      <w:pPr>
        <w:pStyle w:val="ListParagraph"/>
        <w:numPr>
          <w:ilvl w:val="0"/>
          <w:numId w:val="14"/>
        </w:numPr>
      </w:pPr>
      <w:r>
        <w:t xml:space="preserve">Metropolitan Council’s Targeted Vendor list: </w:t>
      </w:r>
      <w:r w:rsidR="00D6240F">
        <w:t xml:space="preserve"> </w:t>
      </w:r>
      <w:hyperlink r:id="rId21" w:history="1">
        <w:r w:rsidRPr="009E5EB4">
          <w:rPr>
            <w:rStyle w:val="Hyperlink"/>
          </w:rPr>
          <w:t>Minnesota Unified Certification Program</w:t>
        </w:r>
      </w:hyperlink>
    </w:p>
    <w:p w14:paraId="0E4F5759" w14:textId="446D0AE6" w:rsidR="004F710D" w:rsidRDefault="004F710D" w:rsidP="00377473">
      <w:pPr>
        <w:pStyle w:val="ListParagraph"/>
        <w:numPr>
          <w:ilvl w:val="0"/>
          <w:numId w:val="14"/>
        </w:numPr>
      </w:pPr>
      <w:r>
        <w:t xml:space="preserve">Small Business Certification Program through Hennepin County, Ramsey County and </w:t>
      </w:r>
      <w:r w:rsidR="00D6240F">
        <w:t>the c</w:t>
      </w:r>
      <w:r>
        <w:t>ity of St. Paul:</w:t>
      </w:r>
      <w:r w:rsidR="00D6240F">
        <w:t xml:space="preserve"> </w:t>
      </w:r>
      <w:r>
        <w:t xml:space="preserve"> </w:t>
      </w:r>
      <w:hyperlink r:id="rId22">
        <w:r w:rsidRPr="36AC3487">
          <w:rPr>
            <w:rStyle w:val="Hyperlink"/>
          </w:rPr>
          <w:t>Central Certification Program</w:t>
        </w:r>
      </w:hyperlink>
      <w:r w:rsidR="00377473">
        <w:t>.</w:t>
      </w:r>
    </w:p>
    <w:p w14:paraId="14D6A6D5" w14:textId="0B80DA3F" w:rsidR="004F710D" w:rsidRDefault="004F710D" w:rsidP="00B9616E">
      <w:pPr>
        <w:pStyle w:val="ListParagraph"/>
        <w:numPr>
          <w:ilvl w:val="0"/>
          <w:numId w:val="12"/>
        </w:numPr>
        <w:ind w:left="1080"/>
      </w:pPr>
      <w:r>
        <w:t>The grantee must maintain:</w:t>
      </w:r>
    </w:p>
    <w:p w14:paraId="09CB0762" w14:textId="7728B910" w:rsidR="004F710D" w:rsidRDefault="004F710D" w:rsidP="00B9616E">
      <w:pPr>
        <w:pStyle w:val="ListParagraph"/>
        <w:numPr>
          <w:ilvl w:val="0"/>
          <w:numId w:val="15"/>
        </w:numPr>
      </w:pPr>
      <w:r>
        <w:t>Written standards of conduct covering conflicts of interest and governing the actions of its employees engaged in the selection, award and administration of contracts.</w:t>
      </w:r>
    </w:p>
    <w:p w14:paraId="4CE6F173" w14:textId="31935864" w:rsidR="004F710D" w:rsidRDefault="004F710D" w:rsidP="00B9616E">
      <w:pPr>
        <w:pStyle w:val="ListParagraph"/>
        <w:numPr>
          <w:ilvl w:val="0"/>
          <w:numId w:val="15"/>
        </w:numPr>
      </w:pPr>
      <w:r>
        <w:t>Support documentation of the purchasing and bidding process utilized to contract services in their financial records, including support documentation justifying a single</w:t>
      </w:r>
      <w:r w:rsidR="00572EF1">
        <w:t xml:space="preserve"> or </w:t>
      </w:r>
      <w:r>
        <w:t>sole source bid, if applicable.</w:t>
      </w:r>
    </w:p>
    <w:p w14:paraId="4875C4E1" w14:textId="4B3B6A6C" w:rsidR="00572EF1" w:rsidRDefault="004F710D" w:rsidP="00572EF1">
      <w:pPr>
        <w:pStyle w:val="ListParagraph"/>
        <w:numPr>
          <w:ilvl w:val="0"/>
          <w:numId w:val="12"/>
        </w:numPr>
        <w:ind w:left="1080"/>
      </w:pPr>
      <w:r>
        <w:t>The grantee must not contract with vendors who are suspended or debarred in M</w:t>
      </w:r>
      <w:r w:rsidR="00572EF1">
        <w:t>innesota</w:t>
      </w:r>
      <w:r>
        <w:t>:</w:t>
      </w:r>
      <w:r w:rsidR="00572EF1">
        <w:t xml:space="preserve">  </w:t>
      </w:r>
      <w:hyperlink r:id="rId23" w:history="1">
        <w:r w:rsidRPr="00D006F3">
          <w:rPr>
            <w:rStyle w:val="Hyperlink"/>
          </w:rPr>
          <w:t>Suspended/Debarred Vendor Information</w:t>
        </w:r>
      </w:hyperlink>
      <w:r w:rsidR="00572EF1">
        <w:t>.</w:t>
      </w:r>
    </w:p>
    <w:p w14:paraId="3E4C92B3" w14:textId="416E9304" w:rsidR="00A768FE" w:rsidRDefault="00A768FE" w:rsidP="00572EF1">
      <w:pPr>
        <w:pStyle w:val="ListParagraph"/>
        <w:numPr>
          <w:ilvl w:val="0"/>
          <w:numId w:val="12"/>
        </w:numPr>
        <w:ind w:left="1080"/>
      </w:pPr>
      <w:r>
        <w:t>For grant-funded projects that include construction work of $25,000 or more, prevailing</w:t>
      </w:r>
      <w:r w:rsidR="00572EF1">
        <w:t>-</w:t>
      </w:r>
      <w:r>
        <w:t xml:space="preserve">wage rules apply per </w:t>
      </w:r>
      <w:hyperlink r:id="rId24">
        <w:r w:rsidRPr="36AC3487">
          <w:rPr>
            <w:rStyle w:val="Hyperlink"/>
          </w:rPr>
          <w:t>Minn. Stat. §§177.41</w:t>
        </w:r>
      </w:hyperlink>
      <w:r>
        <w:t xml:space="preserve"> through </w:t>
      </w:r>
      <w:hyperlink r:id="rId25">
        <w:r w:rsidRPr="36AC3487">
          <w:rPr>
            <w:rStyle w:val="Hyperlink"/>
          </w:rPr>
          <w:t>177.44</w:t>
        </w:r>
      </w:hyperlink>
      <w:r>
        <w:t>. These rules require that the wages of laborers, workers and mechanics should be comparable to wages paid for similar work in the community as a whole.</w:t>
      </w:r>
    </w:p>
    <w:p w14:paraId="5A3DB0D7" w14:textId="77777777" w:rsidR="003D14AE" w:rsidRDefault="003D14AE" w:rsidP="003D14AE">
      <w:pPr>
        <w:pStyle w:val="ListParagraph"/>
        <w:numPr>
          <w:ilvl w:val="0"/>
          <w:numId w:val="0"/>
        </w:numPr>
        <w:ind w:left="1080"/>
      </w:pPr>
    </w:p>
    <w:p w14:paraId="40BB601C" w14:textId="1B1389EC" w:rsidR="00EF4134" w:rsidRDefault="00A9248E" w:rsidP="00EF4134">
      <w:pPr>
        <w:pStyle w:val="Heading2"/>
      </w:pPr>
      <w:r>
        <w:t>1</w:t>
      </w:r>
      <w:r w:rsidR="00441910">
        <w:t>4</w:t>
      </w:r>
      <w:r w:rsidR="00EF4134">
        <w:t>. Conflicts of interest</w:t>
      </w:r>
    </w:p>
    <w:p w14:paraId="6F62FC31" w14:textId="1D47C419" w:rsidR="00EF4134" w:rsidRDefault="00EF4134" w:rsidP="00EF4134">
      <w:r>
        <w:t xml:space="preserve">State grant policy requires that processes are in place to prevent individual and organizational conflicts of interest, both in reference to applicants and reviewers per </w:t>
      </w:r>
      <w:hyperlink r:id="rId26" w:history="1">
        <w:r w:rsidRPr="00796D1E">
          <w:rPr>
            <w:rStyle w:val="Hyperlink"/>
          </w:rPr>
          <w:t>Minn. Stat.§16B.98 Subd. 2-3</w:t>
        </w:r>
      </w:hyperlink>
      <w:r>
        <w:t xml:space="preserve"> and </w:t>
      </w:r>
      <w:hyperlink r:id="rId27" w:history="1">
        <w:r w:rsidRPr="00AD55EE">
          <w:rPr>
            <w:rStyle w:val="Hyperlink"/>
          </w:rPr>
          <w:t>08-01 Conflict of Interest in State Grant-Making Policy</w:t>
        </w:r>
      </w:hyperlink>
      <w:r>
        <w:t xml:space="preserve">. </w:t>
      </w:r>
    </w:p>
    <w:p w14:paraId="4371E4D4" w14:textId="77777777" w:rsidR="00EF4134" w:rsidRDefault="00EF4134" w:rsidP="00EF4134">
      <w:r>
        <w:t xml:space="preserve">Organizational conflicts of interest occur when: </w:t>
      </w:r>
    </w:p>
    <w:p w14:paraId="03646AC4" w14:textId="41AFE915" w:rsidR="00EF4134" w:rsidRDefault="00EF4134" w:rsidP="00EF4134">
      <w:pPr>
        <w:pStyle w:val="ListParagraph"/>
        <w:numPr>
          <w:ilvl w:val="0"/>
          <w:numId w:val="7"/>
        </w:numPr>
      </w:pPr>
      <w:r>
        <w:t xml:space="preserve">a grantee or applicant is unable or potentially unable to render impartial assistance or advice to the </w:t>
      </w:r>
      <w:r w:rsidR="005E10E5">
        <w:t>d</w:t>
      </w:r>
      <w:r>
        <w:t>epartment due to competing duties or loyalties</w:t>
      </w:r>
      <w:r w:rsidR="00820465">
        <w:t>; and</w:t>
      </w:r>
      <w:r>
        <w:t xml:space="preserve"> </w:t>
      </w:r>
    </w:p>
    <w:p w14:paraId="3E609B33" w14:textId="77777777" w:rsidR="00EF4134" w:rsidRDefault="00EF4134" w:rsidP="00EF4134">
      <w:pPr>
        <w:pStyle w:val="ListParagraph"/>
        <w:numPr>
          <w:ilvl w:val="0"/>
          <w:numId w:val="7"/>
        </w:numPr>
      </w:pPr>
      <w:r>
        <w:t>a grantee’s or applicant’s objectivity in carrying out the grant is or might be otherwise impaired due to competing duties or loyalties.</w:t>
      </w:r>
    </w:p>
    <w:p w14:paraId="1B2EBDA2" w14:textId="44D311C3" w:rsidR="00EF4134" w:rsidRDefault="00A9248E" w:rsidP="00EF4134">
      <w:pPr>
        <w:pStyle w:val="Heading2"/>
      </w:pPr>
      <w:r>
        <w:t>1</w:t>
      </w:r>
      <w:r w:rsidR="00441910">
        <w:t>5</w:t>
      </w:r>
      <w:r w:rsidR="00EF4134">
        <w:t xml:space="preserve">. Public </w:t>
      </w:r>
      <w:r w:rsidR="002D03E9">
        <w:t xml:space="preserve">access to </w:t>
      </w:r>
      <w:r w:rsidR="00EF4134">
        <w:t>applicant’s data</w:t>
      </w:r>
    </w:p>
    <w:p w14:paraId="6B2DBBFA" w14:textId="77777777" w:rsidR="00EF4134" w:rsidRDefault="00EC62F1" w:rsidP="00EF4134">
      <w:hyperlink r:id="rId28" w:history="1">
        <w:r w:rsidR="00EF4134" w:rsidRPr="00062A1D">
          <w:rPr>
            <w:rStyle w:val="Hyperlink"/>
          </w:rPr>
          <w:t>Per Minn. Stat. § 13.599</w:t>
        </w:r>
      </w:hyperlink>
    </w:p>
    <w:p w14:paraId="549154A3" w14:textId="5A37FF36" w:rsidR="00EF4134" w:rsidRDefault="00EF4134" w:rsidP="008167A9">
      <w:pPr>
        <w:pStyle w:val="ListParagraph"/>
        <w:numPr>
          <w:ilvl w:val="0"/>
          <w:numId w:val="31"/>
        </w:numPr>
      </w:pPr>
      <w:r>
        <w:t xml:space="preserve">Names and addresses of grant applicants and amount requested will be public data once proposal responses are opened. </w:t>
      </w:r>
    </w:p>
    <w:p w14:paraId="3CCFEBBF" w14:textId="77777777" w:rsidR="005C23AA" w:rsidRPr="008167A9" w:rsidRDefault="005C23AA" w:rsidP="005C23AA">
      <w:pPr>
        <w:pStyle w:val="ListParagraph"/>
        <w:numPr>
          <w:ilvl w:val="0"/>
          <w:numId w:val="31"/>
        </w:numPr>
      </w:pPr>
      <w:r>
        <w:t xml:space="preserve">All remaining data in proposal responses (except trade secret data as defined and classified in </w:t>
      </w:r>
      <w:hyperlink r:id="rId29">
        <w:r w:rsidRPr="003E0491">
          <w:rPr>
            <w:rStyle w:val="Hyperlink"/>
          </w:rPr>
          <w:t>§13.37</w:t>
        </w:r>
      </w:hyperlink>
      <w:r>
        <w:t xml:space="preserve">) will be public data after the evaluation process is completed. For the purposes of this grant, data will be considered public when all the grant contract </w:t>
      </w:r>
      <w:r w:rsidRPr="008167A9">
        <w:t xml:space="preserve">agreements have been fully executed. </w:t>
      </w:r>
    </w:p>
    <w:p w14:paraId="0F93CC17" w14:textId="77777777" w:rsidR="005C23AA" w:rsidRPr="00F525D5" w:rsidRDefault="005C23AA" w:rsidP="005C23AA">
      <w:pPr>
        <w:pStyle w:val="ListParagraph"/>
        <w:numPr>
          <w:ilvl w:val="0"/>
          <w:numId w:val="31"/>
        </w:numPr>
      </w:pPr>
      <w:r w:rsidRPr="008167A9">
        <w:t xml:space="preserve">All data created or maintained by DLI as part of the evaluation process (except trade secret data as defined and classified in </w:t>
      </w:r>
      <w:hyperlink r:id="rId30">
        <w:r w:rsidRPr="003E0491">
          <w:rPr>
            <w:rStyle w:val="Hyperlink"/>
          </w:rPr>
          <w:t>§13.37</w:t>
        </w:r>
      </w:hyperlink>
      <w:r w:rsidRPr="008167A9">
        <w:t xml:space="preserve">) will be public data after the evaluation process is completed. For the purposes of this grant, </w:t>
      </w:r>
      <w:r>
        <w:t xml:space="preserve">data will be considered public </w:t>
      </w:r>
      <w:r w:rsidRPr="008167A9">
        <w:t xml:space="preserve">when all </w:t>
      </w:r>
      <w:r>
        <w:t xml:space="preserve">the </w:t>
      </w:r>
      <w:r w:rsidRPr="008167A9">
        <w:t>grant contract agreements have been fully executed.</w:t>
      </w:r>
    </w:p>
    <w:p w14:paraId="751081D8" w14:textId="09C01EC5" w:rsidR="00574B87" w:rsidRDefault="00574B87" w:rsidP="00574B87">
      <w:pPr>
        <w:pStyle w:val="Heading2"/>
      </w:pPr>
      <w:r>
        <w:t>1</w:t>
      </w:r>
      <w:r w:rsidR="00441910">
        <w:t>6</w:t>
      </w:r>
      <w:r>
        <w:t xml:space="preserve">. Affirmative action and non-discrimination requirements for grantees: </w:t>
      </w:r>
    </w:p>
    <w:p w14:paraId="15522C3D" w14:textId="6308B29B" w:rsidR="00574B87" w:rsidRDefault="00574B87" w:rsidP="00C31A23">
      <w:pPr>
        <w:pStyle w:val="ListParagraph"/>
        <w:numPr>
          <w:ilvl w:val="0"/>
          <w:numId w:val="18"/>
        </w:numPr>
      </w:pPr>
      <w:r>
        <w:t xml:space="preserve">As per </w:t>
      </w:r>
      <w:hyperlink r:id="rId31" w:history="1">
        <w:r w:rsidRPr="00183EFD">
          <w:rPr>
            <w:rStyle w:val="Hyperlink"/>
          </w:rPr>
          <w:t>Minn. Stat. §363A.02</w:t>
        </w:r>
      </w:hyperlink>
      <w:r>
        <w:t xml:space="preserve"> the grantee agrees not to discriminate against any employee or applicant for employment because of race, color, creed, religion, national origin, sex, marital status, status in regard to public assistance, membership or activity in a local commission, disability, sexual orientation, </w:t>
      </w:r>
      <w:r w:rsidR="004A2E8C" w:rsidRPr="00E91D0F">
        <w:t xml:space="preserve">familial status </w:t>
      </w:r>
      <w:r>
        <w:t xml:space="preserve">or age in regard to any position for which the employee or applicant for employment is qualified. The grantee agrees to take affirmative steps to employ, advance in employment, upgrade, train, and recruit minority persons, women, and persons with disabilities. </w:t>
      </w:r>
    </w:p>
    <w:p w14:paraId="6E210D50" w14:textId="1D6EEE79" w:rsidR="00574B87" w:rsidRDefault="00574B87" w:rsidP="00C31A23">
      <w:pPr>
        <w:pStyle w:val="ListParagraph"/>
        <w:numPr>
          <w:ilvl w:val="0"/>
          <w:numId w:val="18"/>
        </w:numPr>
      </w:pPr>
      <w:r>
        <w:t>The grantee must not discriminate against any employee or applicant for employment because of physical or mental disability in regard to any position for which the employee or applicant for employment is qualified. The grantee agrees to take affirmative action to employ, advance in employment, and otherwise treat qualified disabled persons without discrimination based upon their physical or mental disability in all employment practices such as the following:</w:t>
      </w:r>
      <w:r w:rsidR="005F560C">
        <w:t xml:space="preserve"> </w:t>
      </w:r>
      <w:r>
        <w:t xml:space="preserve"> employment, upgrading, demotion or transfer, recruitment, advertising, layoff or termination, rates of pay or other forms of compensation, and selection for training, including apprenticeship. Minnesota Rules, part </w:t>
      </w:r>
      <w:hyperlink r:id="rId32" w:history="1">
        <w:r w:rsidRPr="00A87CF5">
          <w:rPr>
            <w:rStyle w:val="Hyperlink"/>
          </w:rPr>
          <w:t>5000.3500</w:t>
        </w:r>
      </w:hyperlink>
      <w:r w:rsidR="00A87CF5">
        <w:t>.</w:t>
      </w:r>
    </w:p>
    <w:p w14:paraId="0044D59C" w14:textId="6865EDD3" w:rsidR="004D1B35" w:rsidRDefault="00574B87" w:rsidP="00C31A23">
      <w:pPr>
        <w:pStyle w:val="ListParagraph"/>
        <w:numPr>
          <w:ilvl w:val="0"/>
          <w:numId w:val="18"/>
        </w:numPr>
      </w:pPr>
      <w:r>
        <w:t>The grantee agrees to comply with the rules and relevant orders of the Minnesota Department of Human Rights issued pursuant to the Minnesota Human Rights Act.</w:t>
      </w:r>
    </w:p>
    <w:p w14:paraId="2D613902" w14:textId="1E17F7D3" w:rsidR="004B4327" w:rsidRDefault="00A87CF5" w:rsidP="00CA5680">
      <w:pPr>
        <w:pStyle w:val="Heading2"/>
      </w:pPr>
      <w:r>
        <w:t>1</w:t>
      </w:r>
      <w:r w:rsidR="00441910">
        <w:t>7</w:t>
      </w:r>
      <w:r>
        <w:t>.</w:t>
      </w:r>
      <w:r w:rsidR="004B4327">
        <w:t xml:space="preserve"> Grantee voter registration requirement </w:t>
      </w:r>
    </w:p>
    <w:p w14:paraId="2961AA5F" w14:textId="7B60FD5A" w:rsidR="00A87CF5" w:rsidRDefault="004B4327" w:rsidP="004B4327">
      <w:r>
        <w:t xml:space="preserve">The grantee will comply with </w:t>
      </w:r>
      <w:hyperlink r:id="rId33" w:history="1">
        <w:r w:rsidRPr="00A9562F">
          <w:rPr>
            <w:rStyle w:val="Hyperlink"/>
          </w:rPr>
          <w:t>Minn. Stat. §201.162</w:t>
        </w:r>
      </w:hyperlink>
      <w:r>
        <w:t xml:space="preserve"> by providing voter registration services for its employees and for the public served by the grantee.</w:t>
      </w:r>
    </w:p>
    <w:p w14:paraId="7ECA7D3F" w14:textId="4A0ADBDE" w:rsidR="001A1FEC" w:rsidRDefault="001A1FEC" w:rsidP="005A2B25">
      <w:pPr>
        <w:pStyle w:val="Heading2"/>
      </w:pPr>
      <w:r>
        <w:t xml:space="preserve">18. </w:t>
      </w:r>
      <w:r w:rsidR="00A53454">
        <w:t xml:space="preserve">Required </w:t>
      </w:r>
      <w:r w:rsidR="00750C64">
        <w:t>a</w:t>
      </w:r>
      <w:r>
        <w:t>pplication materials</w:t>
      </w:r>
    </w:p>
    <w:p w14:paraId="61DFAE47" w14:textId="4FCA7B24" w:rsidR="00DE7D35" w:rsidRDefault="00DE7D35" w:rsidP="00DE7D35">
      <w:pPr>
        <w:rPr>
          <w:b/>
          <w:bCs/>
        </w:rPr>
      </w:pPr>
      <w:r w:rsidRPr="00563549">
        <w:rPr>
          <w:b/>
          <w:bCs/>
        </w:rPr>
        <w:t>Required material to submit with application:</w:t>
      </w:r>
    </w:p>
    <w:p w14:paraId="5D2DCE15" w14:textId="77777777" w:rsidR="00DE7D35" w:rsidRPr="006B437E" w:rsidRDefault="00DE7D35" w:rsidP="00DE7D35">
      <w:pPr>
        <w:pStyle w:val="ListParagraph"/>
        <w:numPr>
          <w:ilvl w:val="0"/>
          <w:numId w:val="22"/>
        </w:numPr>
      </w:pPr>
      <w:r w:rsidRPr="006B437E">
        <w:t xml:space="preserve">Application </w:t>
      </w:r>
      <w:r>
        <w:t>f</w:t>
      </w:r>
      <w:r w:rsidRPr="006B437E">
        <w:t>orm (use either the application for single organizations or collaborations)</w:t>
      </w:r>
    </w:p>
    <w:p w14:paraId="7B4B3478" w14:textId="7228C815" w:rsidR="00DE7D35" w:rsidRDefault="00DE7D35" w:rsidP="00DE7D35">
      <w:pPr>
        <w:pStyle w:val="ListParagraph"/>
        <w:numPr>
          <w:ilvl w:val="0"/>
          <w:numId w:val="22"/>
        </w:numPr>
      </w:pPr>
      <w:r>
        <w:t xml:space="preserve">Exhibit A: </w:t>
      </w:r>
      <w:r w:rsidR="00750C64">
        <w:t xml:space="preserve"> </w:t>
      </w:r>
      <w:r>
        <w:t>Capacity responses</w:t>
      </w:r>
    </w:p>
    <w:p w14:paraId="1E474954" w14:textId="371AA084" w:rsidR="00DF4EE8" w:rsidRDefault="00DE7D35" w:rsidP="00DE7D35">
      <w:pPr>
        <w:pStyle w:val="ListParagraph"/>
        <w:numPr>
          <w:ilvl w:val="0"/>
          <w:numId w:val="22"/>
        </w:numPr>
      </w:pPr>
      <w:r>
        <w:t xml:space="preserve">Exhibit B: </w:t>
      </w:r>
      <w:r w:rsidR="00750C64">
        <w:t xml:space="preserve"> </w:t>
      </w:r>
      <w:r>
        <w:t>Certification</w:t>
      </w:r>
    </w:p>
    <w:p w14:paraId="2EF31D4A" w14:textId="764743B5" w:rsidR="00DE7D35" w:rsidRDefault="00DE7D35" w:rsidP="00DE7D35">
      <w:pPr>
        <w:pStyle w:val="ListParagraph"/>
        <w:numPr>
          <w:ilvl w:val="0"/>
          <w:numId w:val="22"/>
        </w:numPr>
      </w:pPr>
      <w:r>
        <w:t xml:space="preserve">Exhibit C: </w:t>
      </w:r>
      <w:r w:rsidR="00750C64">
        <w:t xml:space="preserve"> </w:t>
      </w:r>
      <w:r>
        <w:t>Evidence of Good Standing</w:t>
      </w:r>
    </w:p>
    <w:p w14:paraId="1E86BC8E" w14:textId="1DA19E34" w:rsidR="00F721C8" w:rsidRDefault="00F721C8" w:rsidP="00DE7D35">
      <w:pPr>
        <w:pStyle w:val="ListParagraph"/>
        <w:numPr>
          <w:ilvl w:val="0"/>
          <w:numId w:val="22"/>
        </w:numPr>
      </w:pPr>
      <w:r>
        <w:t xml:space="preserve">Exhibit D: </w:t>
      </w:r>
      <w:r w:rsidR="00750C64">
        <w:t xml:space="preserve"> </w:t>
      </w:r>
      <w:r>
        <w:t xml:space="preserve">Nonprofit grantee </w:t>
      </w:r>
      <w:r w:rsidR="6143CEE4">
        <w:t>form and documentation</w:t>
      </w:r>
    </w:p>
    <w:p w14:paraId="27AEE84C" w14:textId="1DC35F8D" w:rsidR="00577B73" w:rsidRPr="008056A1" w:rsidRDefault="00577B73" w:rsidP="008056A1">
      <w:pPr>
        <w:rPr>
          <w:b/>
          <w:bCs/>
        </w:rPr>
      </w:pPr>
      <w:r>
        <w:rPr>
          <w:b/>
          <w:bCs/>
        </w:rPr>
        <w:t>Optional</w:t>
      </w:r>
      <w:r w:rsidRPr="00563549">
        <w:rPr>
          <w:b/>
          <w:bCs/>
        </w:rPr>
        <w:t xml:space="preserve"> material to submit with application:</w:t>
      </w:r>
    </w:p>
    <w:p w14:paraId="66C40D4D" w14:textId="676ECFBC" w:rsidR="00577B73" w:rsidRDefault="00577B73" w:rsidP="008056A1">
      <w:pPr>
        <w:pStyle w:val="ListParagraph"/>
        <w:numPr>
          <w:ilvl w:val="0"/>
          <w:numId w:val="49"/>
        </w:numPr>
      </w:pPr>
      <w:r w:rsidRPr="006B437E">
        <w:t xml:space="preserve">Signed </w:t>
      </w:r>
      <w:r>
        <w:t>letters of support</w:t>
      </w:r>
      <w:r w:rsidRPr="006B437E">
        <w:t xml:space="preserve"> from </w:t>
      </w:r>
      <w:r>
        <w:t>partner</w:t>
      </w:r>
      <w:r w:rsidRPr="006B437E">
        <w:t xml:space="preserve"> o</w:t>
      </w:r>
      <w:r w:rsidRPr="009A63E7">
        <w:t>rganizations</w:t>
      </w:r>
      <w:r>
        <w:t xml:space="preserve"> </w:t>
      </w:r>
    </w:p>
    <w:p w14:paraId="51D10D18" w14:textId="5DDFBB28" w:rsidR="001A1FEC" w:rsidRPr="001A1FEC" w:rsidRDefault="00006BA6" w:rsidP="001A1FEC">
      <w:r>
        <w:t>D</w:t>
      </w:r>
      <w:r w:rsidRPr="00D73B97">
        <w:t>o not submit any other materials (binders, photos, etc.). Unrequested materials will not be reviewed.</w:t>
      </w:r>
    </w:p>
    <w:p w14:paraId="4F751F78" w14:textId="0B46CDFA" w:rsidR="005A2B25" w:rsidRDefault="005A2B25" w:rsidP="005A2B25">
      <w:pPr>
        <w:pStyle w:val="Heading2"/>
      </w:pPr>
      <w:r>
        <w:t>1</w:t>
      </w:r>
      <w:r w:rsidR="00006BA6">
        <w:t>9</w:t>
      </w:r>
      <w:r>
        <w:t>. How to submit applications</w:t>
      </w:r>
    </w:p>
    <w:p w14:paraId="203EACE7" w14:textId="5C3F0077" w:rsidR="00794565" w:rsidDel="008E15BE" w:rsidRDefault="005A2B25" w:rsidP="001F7BBA">
      <w:pPr>
        <w:rPr>
          <w:rStyle w:val="Hyperlink"/>
        </w:rPr>
      </w:pPr>
      <w:r w:rsidRPr="36AC3487">
        <w:rPr>
          <w:b/>
          <w:bCs/>
        </w:rPr>
        <w:t>Email to:</w:t>
      </w:r>
      <w:r w:rsidR="005E5CD5" w:rsidRPr="36AC3487">
        <w:rPr>
          <w:b/>
          <w:bCs/>
        </w:rPr>
        <w:t xml:space="preserve"> </w:t>
      </w:r>
      <w:r w:rsidR="1AC0AE8D" w:rsidRPr="36AC3487">
        <w:rPr>
          <w:b/>
          <w:bCs/>
        </w:rPr>
        <w:t xml:space="preserve"> </w:t>
      </w:r>
      <w:r w:rsidR="005E5CD5">
        <w:t>E</w:t>
      </w:r>
      <w:r w:rsidR="009A4919">
        <w:t>ric Olberding</w:t>
      </w:r>
      <w:r w:rsidR="005E5CD5">
        <w:t xml:space="preserve"> </w:t>
      </w:r>
      <w:r w:rsidR="001F7BBA">
        <w:t xml:space="preserve">at </w:t>
      </w:r>
      <w:hyperlink r:id="rId34">
        <w:r w:rsidR="00794565" w:rsidRPr="36AC3487">
          <w:rPr>
            <w:rStyle w:val="Hyperlink"/>
          </w:rPr>
          <w:t>eric.p.olberding@state.mn.us</w:t>
        </w:r>
      </w:hyperlink>
    </w:p>
    <w:p w14:paraId="4BB2E3E0" w14:textId="460EC9D2" w:rsidR="006B0027" w:rsidRDefault="006B0027" w:rsidP="36AC3487">
      <w:r>
        <w:t>If you would like to submit an application by mail, contact Eric Olberding at the email above or by phone at 651-284-5377 for additional information.</w:t>
      </w:r>
    </w:p>
    <w:p w14:paraId="2EA3336A" w14:textId="43C8F53F" w:rsidR="005A2B25" w:rsidRDefault="005A2B25" w:rsidP="005A2B25">
      <w:r w:rsidRPr="00613597">
        <w:rPr>
          <w:b/>
          <w:bCs/>
        </w:rPr>
        <w:t xml:space="preserve">All applications must be received no later than </w:t>
      </w:r>
      <w:r w:rsidR="00B942CA" w:rsidRPr="00D75C99">
        <w:rPr>
          <w:b/>
          <w:bCs/>
        </w:rPr>
        <w:t>11:59</w:t>
      </w:r>
      <w:r w:rsidRPr="00D75C99">
        <w:rPr>
          <w:b/>
        </w:rPr>
        <w:t xml:space="preserve"> p.m</w:t>
      </w:r>
      <w:r w:rsidRPr="00D75C99">
        <w:rPr>
          <w:b/>
          <w:bCs/>
        </w:rPr>
        <w:t>.</w:t>
      </w:r>
      <w:r w:rsidRPr="00613597">
        <w:rPr>
          <w:b/>
          <w:bCs/>
        </w:rPr>
        <w:t xml:space="preserve"> Central</w:t>
      </w:r>
      <w:r w:rsidR="006A1361">
        <w:rPr>
          <w:b/>
          <w:bCs/>
        </w:rPr>
        <w:t xml:space="preserve"> Standard</w:t>
      </w:r>
      <w:r w:rsidRPr="00613597">
        <w:rPr>
          <w:b/>
          <w:bCs/>
        </w:rPr>
        <w:t xml:space="preserve"> Time, on</w:t>
      </w:r>
      <w:r w:rsidR="008E5CCE">
        <w:rPr>
          <w:b/>
          <w:bCs/>
          <w:color w:val="C00000"/>
        </w:rPr>
        <w:t xml:space="preserve"> </w:t>
      </w:r>
      <w:r w:rsidR="004B2313" w:rsidRPr="00DF4EE8">
        <w:rPr>
          <w:b/>
          <w:bCs/>
        </w:rPr>
        <w:t>March 11, 2024</w:t>
      </w:r>
      <w:r>
        <w:t>. If applications are mailed, they must be postmarked by</w:t>
      </w:r>
      <w:r w:rsidR="00664624">
        <w:t xml:space="preserve"> </w:t>
      </w:r>
      <w:r w:rsidR="00025EDC">
        <w:t>March</w:t>
      </w:r>
      <w:r w:rsidR="004B2313">
        <w:t xml:space="preserve"> 11</w:t>
      </w:r>
      <w:r w:rsidR="00025EDC">
        <w:t>, 2024</w:t>
      </w:r>
      <w:r>
        <w:t>. Late applications will not be considered. The applicant will incur all costs incurred in applying to this RFP.</w:t>
      </w:r>
    </w:p>
    <w:p w14:paraId="7D1F0A6A" w14:textId="5B9E7D90" w:rsidR="00025EDC" w:rsidRPr="00962E7F" w:rsidRDefault="008520EE" w:rsidP="00025EDC">
      <w:pPr>
        <w:pStyle w:val="Heading2"/>
      </w:pPr>
      <w:r>
        <w:t>20</w:t>
      </w:r>
      <w:r w:rsidR="005A2B25">
        <w:t>.</w:t>
      </w:r>
      <w:r w:rsidR="00025EDC">
        <w:t xml:space="preserve"> </w:t>
      </w:r>
      <w:r w:rsidR="00025EDC" w:rsidRPr="00962E7F">
        <w:t>Questions</w:t>
      </w:r>
    </w:p>
    <w:p w14:paraId="2ADF7E45" w14:textId="77777777" w:rsidR="00025EDC" w:rsidRDefault="00025EDC" w:rsidP="00025EDC">
      <w:pPr>
        <w:pStyle w:val="ListParagraph"/>
        <w:numPr>
          <w:ilvl w:val="0"/>
          <w:numId w:val="20"/>
        </w:numPr>
      </w:pPr>
      <w:r>
        <w:t xml:space="preserve">Questions may be submitted by phone or email to: </w:t>
      </w:r>
    </w:p>
    <w:p w14:paraId="5AFBD6FC" w14:textId="7801AB52" w:rsidR="00025EDC" w:rsidRDefault="00025EDC" w:rsidP="00025EDC">
      <w:pPr>
        <w:pStyle w:val="ListParagraph"/>
        <w:numPr>
          <w:ilvl w:val="1"/>
          <w:numId w:val="20"/>
        </w:numPr>
      </w:pPr>
      <w:r w:rsidRPr="00F24AFE">
        <w:t xml:space="preserve">Eric Olberding at 651-284-5377 or </w:t>
      </w:r>
      <w:hyperlink r:id="rId35" w:history="1">
        <w:r w:rsidRPr="0014333A">
          <w:rPr>
            <w:rStyle w:val="Hyperlink"/>
          </w:rPr>
          <w:t>eric.p.olberding@state.mn.us</w:t>
        </w:r>
      </w:hyperlink>
    </w:p>
    <w:p w14:paraId="56352DD7" w14:textId="5D47D465" w:rsidR="008415F5" w:rsidRDefault="00025EDC" w:rsidP="00025EDC">
      <w:pPr>
        <w:pStyle w:val="ListParagraph"/>
        <w:numPr>
          <w:ilvl w:val="0"/>
          <w:numId w:val="20"/>
        </w:numPr>
      </w:pPr>
      <w:r>
        <w:t xml:space="preserve">Submit questions no later than 4 p.m. Central </w:t>
      </w:r>
      <w:r w:rsidR="006A1361">
        <w:t xml:space="preserve">Standard </w:t>
      </w:r>
      <w:r>
        <w:t>Time, on</w:t>
      </w:r>
      <w:r w:rsidR="009B7CAF">
        <w:t xml:space="preserve"> </w:t>
      </w:r>
      <w:r w:rsidR="004B2313">
        <w:t>March 1, 2024</w:t>
      </w:r>
    </w:p>
    <w:p w14:paraId="51F29618" w14:textId="73165DAD" w:rsidR="006A1361" w:rsidRDefault="00025EDC" w:rsidP="006A1361">
      <w:pPr>
        <w:pStyle w:val="ListParagraph"/>
        <w:numPr>
          <w:ilvl w:val="0"/>
          <w:numId w:val="20"/>
        </w:numPr>
      </w:pPr>
      <w:r>
        <w:t xml:space="preserve">All answers will be posted </w:t>
      </w:r>
      <w:r w:rsidRPr="008415F5">
        <w:rPr>
          <w:rFonts w:cstheme="minorHAnsi"/>
        </w:rPr>
        <w:t>by</w:t>
      </w:r>
      <w:r w:rsidR="00521853">
        <w:rPr>
          <w:rFonts w:cstheme="minorHAnsi"/>
        </w:rPr>
        <w:t xml:space="preserve"> </w:t>
      </w:r>
      <w:r w:rsidR="004B2313">
        <w:rPr>
          <w:rFonts w:cstheme="minorHAnsi"/>
        </w:rPr>
        <w:t>Mar</w:t>
      </w:r>
      <w:r w:rsidR="005B49AB">
        <w:rPr>
          <w:rFonts w:cstheme="minorHAnsi"/>
        </w:rPr>
        <w:t>ch</w:t>
      </w:r>
      <w:r w:rsidR="004B2313">
        <w:rPr>
          <w:rFonts w:cstheme="minorHAnsi"/>
        </w:rPr>
        <w:t xml:space="preserve"> 4</w:t>
      </w:r>
      <w:r w:rsidR="005B49AB">
        <w:rPr>
          <w:rFonts w:cstheme="minorHAnsi"/>
        </w:rPr>
        <w:t>, 2024</w:t>
      </w:r>
      <w:r w:rsidRPr="008415F5">
        <w:rPr>
          <w:rFonts w:cstheme="minorHAnsi"/>
        </w:rPr>
        <w:t xml:space="preserve">, at </w:t>
      </w:r>
      <w:hyperlink r:id="rId36" w:history="1">
        <w:r w:rsidR="006A1361" w:rsidRPr="006A1361">
          <w:rPr>
            <w:rStyle w:val="Hyperlink"/>
            <w:rFonts w:cstheme="minorHAnsi"/>
          </w:rPr>
          <w:t>dli.mn.gov/business/employment-practices/womens-economic-security-act-wesa-engagement-and-education-grant</w:t>
        </w:r>
      </w:hyperlink>
      <w:r w:rsidR="006A1361" w:rsidRPr="006A1361">
        <w:rPr>
          <w:rFonts w:cstheme="minorHAnsi"/>
        </w:rPr>
        <w:t>.</w:t>
      </w:r>
    </w:p>
    <w:p w14:paraId="6DD7C96C" w14:textId="5D8063E7" w:rsidR="00372D01" w:rsidRDefault="00A5695D" w:rsidP="00A5695D">
      <w:pPr>
        <w:pStyle w:val="Heading2"/>
      </w:pPr>
      <w:r>
        <w:t xml:space="preserve">21. </w:t>
      </w:r>
      <w:r w:rsidR="00372D01">
        <w:t>Review process and timeline</w:t>
      </w:r>
    </w:p>
    <w:p w14:paraId="798EB7DC" w14:textId="77777777" w:rsidR="00C45397" w:rsidRPr="004476EE" w:rsidRDefault="00C45397" w:rsidP="00C45397">
      <w:r w:rsidRPr="004476EE">
        <w:t xml:space="preserve">The review committee will evaluate all eligible and complete applications received by the deadline. </w:t>
      </w:r>
      <w:r>
        <w:t>DLI</w:t>
      </w:r>
      <w:r w:rsidRPr="004476EE">
        <w:t xml:space="preserve"> will review all committee recommendations and is responsible for award decisions. </w:t>
      </w:r>
    </w:p>
    <w:p w14:paraId="21E6252B" w14:textId="59F2DCA4" w:rsidR="00C45397" w:rsidRPr="00B66151" w:rsidRDefault="00C45397" w:rsidP="00BE02BB">
      <w:pPr>
        <w:pStyle w:val="ListParagraph"/>
        <w:numPr>
          <w:ilvl w:val="0"/>
          <w:numId w:val="53"/>
        </w:numPr>
        <w:spacing w:before="0" w:after="0" w:line="276" w:lineRule="auto"/>
      </w:pPr>
      <w:r>
        <w:t xml:space="preserve">Applications due no later than </w:t>
      </w:r>
      <w:r w:rsidR="009914DF">
        <w:t>11</w:t>
      </w:r>
      <w:r>
        <w:t>:</w:t>
      </w:r>
      <w:r w:rsidR="001216DC">
        <w:t>59</w:t>
      </w:r>
      <w:r>
        <w:t xml:space="preserve"> p.m. Central </w:t>
      </w:r>
      <w:r w:rsidR="00EB0E2F">
        <w:t xml:space="preserve">Standard </w:t>
      </w:r>
      <w:r>
        <w:t>Time</w:t>
      </w:r>
      <w:r w:rsidR="001A7007">
        <w:t xml:space="preserve"> on March 11, 2024</w:t>
      </w:r>
      <w:r w:rsidR="00EB0E2F">
        <w:t>.</w:t>
      </w:r>
    </w:p>
    <w:p w14:paraId="175E7ADD" w14:textId="1D2DC559" w:rsidR="00BE02BB" w:rsidRPr="00E970D8" w:rsidRDefault="00BE02BB" w:rsidP="00BE02BB">
      <w:pPr>
        <w:pStyle w:val="ListParagraph"/>
        <w:numPr>
          <w:ilvl w:val="0"/>
          <w:numId w:val="28"/>
        </w:numPr>
      </w:pPr>
      <w:r w:rsidRPr="00E970D8">
        <w:t xml:space="preserve">Applicants notified of award:  </w:t>
      </w:r>
      <w:r>
        <w:t>May 2024</w:t>
      </w:r>
      <w:r w:rsidR="00EB0E2F">
        <w:t>.</w:t>
      </w:r>
    </w:p>
    <w:p w14:paraId="1E9C2C4E" w14:textId="4CCAACB6" w:rsidR="00BE02BB" w:rsidRDefault="00BE02BB" w:rsidP="00BE02BB">
      <w:pPr>
        <w:pStyle w:val="ListParagraph"/>
        <w:numPr>
          <w:ilvl w:val="0"/>
          <w:numId w:val="28"/>
        </w:numPr>
      </w:pPr>
      <w:r>
        <w:t xml:space="preserve">Budgets and workplans approved, contracts finalized: </w:t>
      </w:r>
      <w:r w:rsidR="00EB0E2F">
        <w:t xml:space="preserve"> </w:t>
      </w:r>
      <w:r>
        <w:t>May</w:t>
      </w:r>
      <w:r w:rsidR="00521853">
        <w:t xml:space="preserve"> to June</w:t>
      </w:r>
      <w:r>
        <w:t xml:space="preserve"> 2024</w:t>
      </w:r>
      <w:r w:rsidR="00EB0E2F">
        <w:t>.</w:t>
      </w:r>
    </w:p>
    <w:p w14:paraId="1C67E823" w14:textId="685C72C4" w:rsidR="00C45397" w:rsidRPr="00C45397" w:rsidRDefault="00BE02BB" w:rsidP="00BE02BB">
      <w:pPr>
        <w:pStyle w:val="ListParagraph"/>
        <w:numPr>
          <w:ilvl w:val="0"/>
          <w:numId w:val="28"/>
        </w:numPr>
      </w:pPr>
      <w:r w:rsidRPr="00E970D8">
        <w:t xml:space="preserve">Grant work begins:  </w:t>
      </w:r>
      <w:r w:rsidRPr="00BE02BB">
        <w:rPr>
          <w:rFonts w:cstheme="minorBidi"/>
        </w:rPr>
        <w:t>July 1, 2024, or the date the contract is fully executed, whichever occurs later.</w:t>
      </w:r>
    </w:p>
    <w:p w14:paraId="4AC9F846" w14:textId="52D6D88E" w:rsidR="005A2B25" w:rsidRDefault="005A2B25" w:rsidP="005A2B25">
      <w:pPr>
        <w:pStyle w:val="Heading2"/>
      </w:pPr>
      <w:r>
        <w:t>2</w:t>
      </w:r>
      <w:r w:rsidR="008520EE">
        <w:t>2</w:t>
      </w:r>
      <w:r>
        <w:t>. Attachments</w:t>
      </w:r>
    </w:p>
    <w:p w14:paraId="41466F92" w14:textId="3C149D79" w:rsidR="005A2B25" w:rsidRDefault="005A2B25" w:rsidP="005A2B25">
      <w:r>
        <w:t>The following materials can be found at</w:t>
      </w:r>
      <w:r w:rsidR="00434D3D">
        <w:t xml:space="preserve"> </w:t>
      </w:r>
      <w:hyperlink r:id="rId37" w:history="1">
        <w:r w:rsidR="00434D3D">
          <w:rPr>
            <w:rStyle w:val="Hyperlink"/>
          </w:rPr>
          <w:t>dli.mn.gov/business/employment-practices/womens-economic-security-act-wesa-engagement-and-education-grant</w:t>
        </w:r>
      </w:hyperlink>
      <w:r w:rsidR="00434D3D">
        <w:t>:</w:t>
      </w:r>
    </w:p>
    <w:p w14:paraId="7FA48AED" w14:textId="43BAD520" w:rsidR="00521853" w:rsidRDefault="00521853" w:rsidP="00CD3769">
      <w:pPr>
        <w:pStyle w:val="ListParagraph"/>
        <w:numPr>
          <w:ilvl w:val="0"/>
          <w:numId w:val="19"/>
        </w:numPr>
      </w:pPr>
      <w:r>
        <w:t>RFP</w:t>
      </w:r>
    </w:p>
    <w:p w14:paraId="2517D21B" w14:textId="7DEA0CE3" w:rsidR="00CD3769" w:rsidRPr="00521853" w:rsidRDefault="00CD3769" w:rsidP="00CD3769">
      <w:pPr>
        <w:pStyle w:val="ListParagraph"/>
        <w:numPr>
          <w:ilvl w:val="0"/>
          <w:numId w:val="19"/>
        </w:numPr>
      </w:pPr>
      <w:r w:rsidRPr="00521853">
        <w:t xml:space="preserve">Application </w:t>
      </w:r>
      <w:r w:rsidR="00EB0E2F">
        <w:t>f</w:t>
      </w:r>
      <w:r w:rsidRPr="00521853">
        <w:t>orm</w:t>
      </w:r>
    </w:p>
    <w:p w14:paraId="5CDEC30D" w14:textId="4154B0E5" w:rsidR="00CD3769" w:rsidRDefault="00CD3769" w:rsidP="410113E8">
      <w:pPr>
        <w:pStyle w:val="ListParagraph"/>
        <w:numPr>
          <w:ilvl w:val="0"/>
          <w:numId w:val="19"/>
        </w:numPr>
        <w:spacing w:before="0" w:after="0" w:line="240" w:lineRule="auto"/>
        <w:rPr>
          <w:rFonts w:asciiTheme="minorHAnsi" w:hAnsiTheme="minorHAnsi"/>
        </w:rPr>
      </w:pPr>
      <w:r w:rsidRPr="410113E8">
        <w:rPr>
          <w:rFonts w:asciiTheme="minorHAnsi" w:hAnsiTheme="minorHAnsi"/>
        </w:rPr>
        <w:t xml:space="preserve">Exhibit </w:t>
      </w:r>
      <w:r w:rsidR="0E715E9C" w:rsidRPr="410113E8">
        <w:rPr>
          <w:rFonts w:asciiTheme="minorHAnsi" w:hAnsiTheme="minorHAnsi"/>
        </w:rPr>
        <w:t>A</w:t>
      </w:r>
      <w:r w:rsidRPr="410113E8">
        <w:rPr>
          <w:rFonts w:asciiTheme="minorHAnsi" w:hAnsiTheme="minorHAnsi"/>
        </w:rPr>
        <w:t xml:space="preserve">: </w:t>
      </w:r>
      <w:r w:rsidR="00EB0E2F">
        <w:rPr>
          <w:rFonts w:asciiTheme="minorHAnsi" w:hAnsiTheme="minorHAnsi"/>
        </w:rPr>
        <w:t xml:space="preserve"> </w:t>
      </w:r>
      <w:r w:rsidRPr="410113E8">
        <w:rPr>
          <w:rFonts w:asciiTheme="minorHAnsi" w:hAnsiTheme="minorHAnsi"/>
        </w:rPr>
        <w:t>Capacity responses</w:t>
      </w:r>
    </w:p>
    <w:p w14:paraId="68EDB491" w14:textId="4F3C938F" w:rsidR="00CD3769" w:rsidRDefault="00CD3769" w:rsidP="410113E8">
      <w:pPr>
        <w:pStyle w:val="ListParagraph"/>
        <w:numPr>
          <w:ilvl w:val="0"/>
          <w:numId w:val="19"/>
        </w:numPr>
        <w:spacing w:before="0" w:after="0" w:line="240" w:lineRule="auto"/>
        <w:rPr>
          <w:rFonts w:asciiTheme="minorHAnsi" w:hAnsiTheme="minorHAnsi" w:cstheme="minorBidi"/>
        </w:rPr>
      </w:pPr>
      <w:r w:rsidRPr="410113E8">
        <w:rPr>
          <w:rFonts w:asciiTheme="minorHAnsi" w:hAnsiTheme="minorHAnsi"/>
        </w:rPr>
        <w:t xml:space="preserve">Exhibit </w:t>
      </w:r>
      <w:r w:rsidR="4586BA60" w:rsidRPr="410113E8">
        <w:rPr>
          <w:rFonts w:asciiTheme="minorHAnsi" w:hAnsiTheme="minorHAnsi"/>
        </w:rPr>
        <w:t>B</w:t>
      </w:r>
      <w:r w:rsidRPr="410113E8">
        <w:rPr>
          <w:rFonts w:asciiTheme="minorHAnsi" w:hAnsiTheme="minorHAnsi"/>
        </w:rPr>
        <w:t xml:space="preserve">: </w:t>
      </w:r>
      <w:r w:rsidR="00EB0E2F">
        <w:rPr>
          <w:rFonts w:asciiTheme="minorHAnsi" w:hAnsiTheme="minorHAnsi"/>
        </w:rPr>
        <w:t xml:space="preserve"> </w:t>
      </w:r>
      <w:r w:rsidRPr="410113E8">
        <w:rPr>
          <w:rFonts w:asciiTheme="minorHAnsi" w:hAnsiTheme="minorHAnsi"/>
        </w:rPr>
        <w:t>Certification</w:t>
      </w:r>
    </w:p>
    <w:p w14:paraId="02351FA2" w14:textId="69D0BD3D" w:rsidR="00CD3769" w:rsidRDefault="00CD3769" w:rsidP="410113E8">
      <w:pPr>
        <w:pStyle w:val="ListParagraph"/>
        <w:numPr>
          <w:ilvl w:val="0"/>
          <w:numId w:val="19"/>
        </w:numPr>
        <w:spacing w:before="0" w:after="0" w:line="240" w:lineRule="auto"/>
        <w:rPr>
          <w:rFonts w:asciiTheme="minorHAnsi" w:hAnsiTheme="minorHAnsi"/>
        </w:rPr>
      </w:pPr>
      <w:r w:rsidRPr="410113E8">
        <w:rPr>
          <w:rFonts w:asciiTheme="minorHAnsi" w:hAnsiTheme="minorHAnsi"/>
        </w:rPr>
        <w:t xml:space="preserve">Exhibit </w:t>
      </w:r>
      <w:r w:rsidR="3C9B8E6E" w:rsidRPr="410113E8">
        <w:rPr>
          <w:rFonts w:asciiTheme="minorHAnsi" w:hAnsiTheme="minorHAnsi"/>
        </w:rPr>
        <w:t>C</w:t>
      </w:r>
      <w:r w:rsidRPr="410113E8">
        <w:rPr>
          <w:rFonts w:asciiTheme="minorHAnsi" w:hAnsiTheme="minorHAnsi"/>
        </w:rPr>
        <w:t xml:space="preserve">: </w:t>
      </w:r>
      <w:r w:rsidR="00EB0E2F">
        <w:rPr>
          <w:rFonts w:asciiTheme="minorHAnsi" w:hAnsiTheme="minorHAnsi"/>
        </w:rPr>
        <w:t xml:space="preserve"> </w:t>
      </w:r>
      <w:r w:rsidRPr="410113E8">
        <w:rPr>
          <w:rFonts w:asciiTheme="minorHAnsi" w:hAnsiTheme="minorHAnsi"/>
        </w:rPr>
        <w:t>Evidence of Good Standing</w:t>
      </w:r>
    </w:p>
    <w:p w14:paraId="03A53C27" w14:textId="189B403A" w:rsidR="00687905" w:rsidRPr="00751879" w:rsidRDefault="00CD3769" w:rsidP="00265E58">
      <w:pPr>
        <w:pStyle w:val="ListParagraph"/>
        <w:numPr>
          <w:ilvl w:val="0"/>
          <w:numId w:val="19"/>
        </w:numPr>
        <w:spacing w:before="0" w:after="0" w:line="240" w:lineRule="auto"/>
      </w:pPr>
      <w:r w:rsidRPr="00521853">
        <w:rPr>
          <w:rFonts w:asciiTheme="minorHAnsi" w:hAnsiTheme="minorHAnsi"/>
        </w:rPr>
        <w:t xml:space="preserve">Exhibit </w:t>
      </w:r>
      <w:r w:rsidR="5CFDBA20" w:rsidRPr="00521853">
        <w:rPr>
          <w:rFonts w:asciiTheme="minorHAnsi" w:hAnsiTheme="minorHAnsi"/>
        </w:rPr>
        <w:t>D</w:t>
      </w:r>
      <w:r w:rsidRPr="00521853">
        <w:rPr>
          <w:rFonts w:asciiTheme="minorHAnsi" w:hAnsiTheme="minorHAnsi"/>
        </w:rPr>
        <w:t xml:space="preserve">: </w:t>
      </w:r>
      <w:r w:rsidR="00EB0E2F">
        <w:rPr>
          <w:rFonts w:asciiTheme="minorHAnsi" w:hAnsiTheme="minorHAnsi"/>
        </w:rPr>
        <w:t xml:space="preserve"> </w:t>
      </w:r>
      <w:r w:rsidRPr="00521853">
        <w:rPr>
          <w:rFonts w:asciiTheme="minorHAnsi" w:hAnsiTheme="minorHAnsi"/>
        </w:rPr>
        <w:t xml:space="preserve">Nonprofit grantee </w:t>
      </w:r>
      <w:r w:rsidR="147948AD" w:rsidRPr="00521853">
        <w:rPr>
          <w:rFonts w:asciiTheme="minorHAnsi" w:hAnsiTheme="minorHAnsi"/>
        </w:rPr>
        <w:t>form</w:t>
      </w:r>
    </w:p>
    <w:sectPr w:rsidR="00687905" w:rsidRPr="00751879" w:rsidSect="009A78EE">
      <w:footerReference w:type="default" r:id="rId38"/>
      <w:headerReference w:type="first" r:id="rId39"/>
      <w:footerReference w:type="first" r:id="rId40"/>
      <w:type w:val="continuous"/>
      <w:pgSz w:w="12240" w:h="15840" w:code="1"/>
      <w:pgMar w:top="1080" w:right="1080" w:bottom="1440" w:left="1080" w:header="720" w:footer="50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7E99D9" w14:textId="77777777" w:rsidR="0074009D" w:rsidRDefault="0074009D" w:rsidP="003356A9">
      <w:r>
        <w:separator/>
      </w:r>
    </w:p>
  </w:endnote>
  <w:endnote w:type="continuationSeparator" w:id="0">
    <w:p w14:paraId="1A9B2592" w14:textId="77777777" w:rsidR="0074009D" w:rsidRDefault="0074009D" w:rsidP="003356A9">
      <w:r>
        <w:continuationSeparator/>
      </w:r>
    </w:p>
  </w:endnote>
  <w:endnote w:type="continuationNotice" w:id="1">
    <w:p w14:paraId="212B51BD" w14:textId="77777777" w:rsidR="0074009D" w:rsidRDefault="0074009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Gothic">
    <w:charset w:val="00"/>
    <w:family w:val="swiss"/>
    <w:pitch w:val="variable"/>
    <w:sig w:usb0="00000287" w:usb1="00000000" w:usb2="00000000" w:usb3="00000000" w:csb0="0000009F" w:csb1="00000000"/>
  </w:font>
  <w:font w:name="Adobe Caslon Pro">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A07B38" w14:textId="6AA92B64" w:rsidR="00FD36D4" w:rsidRDefault="00923BBC" w:rsidP="006C188F">
    <w:pPr>
      <w:pStyle w:val="Footer"/>
    </w:pPr>
    <w:r w:rsidRPr="006C188F">
      <w:t>WESA</w:t>
    </w:r>
    <w:r w:rsidR="006A1203">
      <w:t xml:space="preserve"> and PFML</w:t>
    </w:r>
    <w:r>
      <w:t xml:space="preserve"> </w:t>
    </w:r>
    <w:r w:rsidRPr="006C188F">
      <w:t>Engagement and Education Grant</w:t>
    </w:r>
    <w:r w:rsidDel="00923BBC">
      <w:t xml:space="preserve"> </w:t>
    </w:r>
    <w:r w:rsidR="001333C7">
      <w:t xml:space="preserve">FY25 </w:t>
    </w:r>
    <w:r w:rsidR="007C0E53">
      <w:t>RFP</w:t>
    </w:r>
    <w:r w:rsidR="006C188F">
      <w:ptab w:relativeTo="margin" w:alignment="center" w:leader="none"/>
    </w:r>
    <w:r w:rsidR="00FD36D4">
      <w:ptab w:relativeTo="margin" w:alignment="right" w:leader="none"/>
    </w:r>
    <w:sdt>
      <w:sdtPr>
        <w:id w:val="1283454970"/>
        <w:docPartObj>
          <w:docPartGallery w:val="Page Numbers (Top of Page)"/>
          <w:docPartUnique/>
        </w:docPartObj>
      </w:sdtPr>
      <w:sdtEndPr/>
      <w:sdtContent>
        <w:r w:rsidR="00FD36D4">
          <w:t xml:space="preserve">Page </w:t>
        </w:r>
        <w:r w:rsidR="00FD36D4">
          <w:rPr>
            <w:b/>
            <w:bCs/>
            <w:sz w:val="24"/>
            <w:szCs w:val="24"/>
          </w:rPr>
          <w:fldChar w:fldCharType="begin"/>
        </w:r>
        <w:r w:rsidR="00FD36D4">
          <w:rPr>
            <w:b/>
            <w:bCs/>
          </w:rPr>
          <w:instrText xml:space="preserve"> PAGE </w:instrText>
        </w:r>
        <w:r w:rsidR="00FD36D4">
          <w:rPr>
            <w:b/>
            <w:bCs/>
            <w:sz w:val="24"/>
            <w:szCs w:val="24"/>
          </w:rPr>
          <w:fldChar w:fldCharType="separate"/>
        </w:r>
        <w:r w:rsidR="00FD36D4">
          <w:rPr>
            <w:b/>
            <w:bCs/>
            <w:sz w:val="24"/>
            <w:szCs w:val="24"/>
          </w:rPr>
          <w:t>1</w:t>
        </w:r>
        <w:r w:rsidR="00FD36D4">
          <w:rPr>
            <w:b/>
            <w:bCs/>
            <w:sz w:val="24"/>
            <w:szCs w:val="24"/>
          </w:rPr>
          <w:fldChar w:fldCharType="end"/>
        </w:r>
        <w:r w:rsidR="00FD36D4">
          <w:t xml:space="preserve"> of </w:t>
        </w:r>
        <w:r w:rsidR="00FD36D4">
          <w:rPr>
            <w:b/>
            <w:bCs/>
            <w:sz w:val="24"/>
            <w:szCs w:val="24"/>
          </w:rPr>
          <w:fldChar w:fldCharType="begin"/>
        </w:r>
        <w:r w:rsidR="00FD36D4">
          <w:rPr>
            <w:b/>
            <w:bCs/>
          </w:rPr>
          <w:instrText xml:space="preserve"> NUMPAGES  </w:instrText>
        </w:r>
        <w:r w:rsidR="00FD36D4">
          <w:rPr>
            <w:b/>
            <w:bCs/>
            <w:sz w:val="24"/>
            <w:szCs w:val="24"/>
          </w:rPr>
          <w:fldChar w:fldCharType="separate"/>
        </w:r>
        <w:r w:rsidR="00FD36D4">
          <w:rPr>
            <w:b/>
            <w:bCs/>
            <w:sz w:val="24"/>
            <w:szCs w:val="24"/>
          </w:rPr>
          <w:t>10</w:t>
        </w:r>
        <w:r w:rsidR="00FD36D4">
          <w:rPr>
            <w:b/>
            <w:bCs/>
            <w:sz w:val="24"/>
            <w:szCs w:val="24"/>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814BF9" w14:textId="6C1F3AAC" w:rsidR="0019196F" w:rsidRPr="005422F8" w:rsidRDefault="005422F8" w:rsidP="00615372">
    <w:pPr>
      <w:pStyle w:val="Footer"/>
      <w:jc w:val="both"/>
      <w:rPr>
        <w:color w:val="C00000"/>
      </w:rPr>
    </w:pPr>
    <w:r w:rsidRPr="006C188F">
      <w:t>WESA</w:t>
    </w:r>
    <w:r w:rsidR="006A1203">
      <w:t xml:space="preserve"> and PFML</w:t>
    </w:r>
    <w:r w:rsidR="00923BBC">
      <w:t xml:space="preserve"> </w:t>
    </w:r>
    <w:r w:rsidR="000944BD" w:rsidRPr="006C188F">
      <w:t xml:space="preserve">Engagement and Education Grant </w:t>
    </w:r>
    <w:r w:rsidR="001333C7">
      <w:t xml:space="preserve">FY25 </w:t>
    </w:r>
    <w:r w:rsidR="007C0E53">
      <w:t>RFP</w:t>
    </w:r>
    <w:r w:rsidR="0019196F">
      <w:ptab w:relativeTo="margin" w:alignment="center" w:leader="none"/>
    </w:r>
    <w:r w:rsidR="0019196F">
      <w:ptab w:relativeTo="margin" w:alignment="right" w:leader="none"/>
    </w:r>
    <w:sdt>
      <w:sdtPr>
        <w:id w:val="-1769616900"/>
        <w:docPartObj>
          <w:docPartGallery w:val="Page Numbers (Top of Page)"/>
          <w:docPartUnique/>
        </w:docPartObj>
      </w:sdtPr>
      <w:sdtEndPr/>
      <w:sdtContent>
        <w:r w:rsidR="0019196F">
          <w:t xml:space="preserve">Page </w:t>
        </w:r>
        <w:r w:rsidR="0019196F">
          <w:rPr>
            <w:b/>
            <w:bCs/>
            <w:sz w:val="24"/>
            <w:szCs w:val="24"/>
          </w:rPr>
          <w:fldChar w:fldCharType="begin"/>
        </w:r>
        <w:r w:rsidR="0019196F">
          <w:rPr>
            <w:b/>
            <w:bCs/>
          </w:rPr>
          <w:instrText xml:space="preserve"> PAGE </w:instrText>
        </w:r>
        <w:r w:rsidR="0019196F">
          <w:rPr>
            <w:b/>
            <w:bCs/>
            <w:sz w:val="24"/>
            <w:szCs w:val="24"/>
          </w:rPr>
          <w:fldChar w:fldCharType="separate"/>
        </w:r>
        <w:r w:rsidR="0019196F">
          <w:rPr>
            <w:b/>
            <w:bCs/>
            <w:sz w:val="24"/>
            <w:szCs w:val="24"/>
          </w:rPr>
          <w:t>1</w:t>
        </w:r>
        <w:r w:rsidR="0019196F">
          <w:rPr>
            <w:b/>
            <w:bCs/>
            <w:sz w:val="24"/>
            <w:szCs w:val="24"/>
          </w:rPr>
          <w:fldChar w:fldCharType="end"/>
        </w:r>
        <w:r w:rsidR="0019196F">
          <w:t xml:space="preserve"> of </w:t>
        </w:r>
        <w:r w:rsidR="0019196F">
          <w:rPr>
            <w:b/>
            <w:bCs/>
            <w:sz w:val="24"/>
            <w:szCs w:val="24"/>
          </w:rPr>
          <w:fldChar w:fldCharType="begin"/>
        </w:r>
        <w:r w:rsidR="0019196F">
          <w:rPr>
            <w:b/>
            <w:bCs/>
          </w:rPr>
          <w:instrText xml:space="preserve"> NUMPAGES  </w:instrText>
        </w:r>
        <w:r w:rsidR="0019196F">
          <w:rPr>
            <w:b/>
            <w:bCs/>
            <w:sz w:val="24"/>
            <w:szCs w:val="24"/>
          </w:rPr>
          <w:fldChar w:fldCharType="separate"/>
        </w:r>
        <w:r w:rsidR="0019196F">
          <w:rPr>
            <w:b/>
            <w:bCs/>
            <w:sz w:val="24"/>
            <w:szCs w:val="24"/>
          </w:rPr>
          <w:t>3</w:t>
        </w:r>
        <w:r w:rsidR="0019196F">
          <w:rPr>
            <w:b/>
            <w:bCs/>
            <w:sz w:val="24"/>
            <w:szCs w:val="24"/>
          </w:rPr>
          <w:fldChar w:fldCharType="end"/>
        </w:r>
      </w:sdtContent>
    </w:sdt>
  </w:p>
  <w:p w14:paraId="6F2EED8E" w14:textId="6833E87A" w:rsidR="008B19EA" w:rsidRDefault="008B19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9628F8" w14:textId="77777777" w:rsidR="0074009D" w:rsidRDefault="0074009D" w:rsidP="003356A9">
      <w:r>
        <w:separator/>
      </w:r>
    </w:p>
  </w:footnote>
  <w:footnote w:type="continuationSeparator" w:id="0">
    <w:p w14:paraId="2F18AE83" w14:textId="77777777" w:rsidR="0074009D" w:rsidRDefault="0074009D" w:rsidP="003356A9">
      <w:r>
        <w:continuationSeparator/>
      </w:r>
    </w:p>
  </w:footnote>
  <w:footnote w:type="continuationNotice" w:id="1">
    <w:p w14:paraId="4D67361B" w14:textId="77777777" w:rsidR="0074009D" w:rsidRDefault="0074009D">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D89DB7" w14:textId="5805C395" w:rsidR="008B19EA" w:rsidRPr="000050C8" w:rsidRDefault="008B19EA">
    <w:pPr>
      <w:pStyle w:val="Header"/>
      <w:rPr>
        <w:b/>
        <w:sz w:val="32"/>
        <w:szCs w:val="24"/>
      </w:rPr>
    </w:pPr>
    <w:r>
      <w:rPr>
        <w:b/>
        <w:noProof/>
        <w:sz w:val="32"/>
      </w:rPr>
      <w:drawing>
        <wp:anchor distT="0" distB="0" distL="114300" distR="114300" simplePos="0" relativeHeight="251658240" behindDoc="0" locked="0" layoutInCell="1" allowOverlap="1" wp14:anchorId="4C96099F" wp14:editId="70D2A715">
          <wp:simplePos x="3886200" y="457200"/>
          <wp:positionH relativeFrom="column">
            <wp:align>left</wp:align>
          </wp:positionH>
          <wp:positionV relativeFrom="page">
            <wp:posOffset>274320</wp:posOffset>
          </wp:positionV>
          <wp:extent cx="2834640" cy="320040"/>
          <wp:effectExtent l="0" t="0" r="3810" b="3810"/>
          <wp:wrapNone/>
          <wp:docPr id="6" name="Picture 6" descr="Department of Labor and Indust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Department of Labor and Industry logo"/>
                  <pic:cNvPicPr>
                    <a:picLocks noChangeAspect="1" noChangeArrowheads="1"/>
                  </pic:cNvPicPr>
                </pic:nvPicPr>
                <pic:blipFill rotWithShape="1">
                  <a:blip r:embed="rId1">
                    <a:extLst>
                      <a:ext uri="{28A0092B-C50C-407E-A947-70E740481C1C}">
                        <a14:useLocalDpi xmlns:a14="http://schemas.microsoft.com/office/drawing/2010/main" val="0"/>
                      </a:ext>
                    </a:extLst>
                  </a:blip>
                  <a:srcRect b="44745"/>
                  <a:stretch/>
                </pic:blipFill>
                <pic:spPr bwMode="auto">
                  <a:xfrm>
                    <a:off x="0" y="0"/>
                    <a:ext cx="2834640" cy="3200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sz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8"/>
    <w:multiLevelType w:val="singleLevel"/>
    <w:tmpl w:val="9AE0E85E"/>
    <w:lvl w:ilvl="0">
      <w:start w:val="1"/>
      <w:numFmt w:val="decimal"/>
      <w:pStyle w:val="ListNumber"/>
      <w:lvlText w:val="%1."/>
      <w:lvlJc w:val="left"/>
      <w:pPr>
        <w:tabs>
          <w:tab w:val="num" w:pos="0"/>
        </w:tabs>
        <w:ind w:left="0" w:hanging="360"/>
      </w:pPr>
    </w:lvl>
  </w:abstractNum>
  <w:abstractNum w:abstractNumId="1" w15:restartNumberingAfterBreak="0">
    <w:nsid w:val="008236E9"/>
    <w:multiLevelType w:val="hybridMultilevel"/>
    <w:tmpl w:val="39FCDDB2"/>
    <w:lvl w:ilvl="0" w:tplc="55980E90">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094AFF"/>
    <w:multiLevelType w:val="hybridMultilevel"/>
    <w:tmpl w:val="C9C8A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BD2C65"/>
    <w:multiLevelType w:val="hybridMultilevel"/>
    <w:tmpl w:val="C6344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242A66"/>
    <w:multiLevelType w:val="hybridMultilevel"/>
    <w:tmpl w:val="9B1891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3B5646"/>
    <w:multiLevelType w:val="hybridMultilevel"/>
    <w:tmpl w:val="13C838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E876ED"/>
    <w:multiLevelType w:val="hybridMultilevel"/>
    <w:tmpl w:val="4EC66778"/>
    <w:lvl w:ilvl="0" w:tplc="040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8695CBF"/>
    <w:multiLevelType w:val="hybridMultilevel"/>
    <w:tmpl w:val="274CDEB6"/>
    <w:lvl w:ilvl="0" w:tplc="837A7FC8">
      <w:start w:val="21"/>
      <w:numFmt w:val="decimal"/>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start w:val="21"/>
      <w:numFmt w:val="decimal"/>
      <w:lvlText w:val="%3."/>
      <w:lvlJc w:val="left"/>
      <w:pPr>
        <w:ind w:left="1860" w:hanging="420"/>
      </w:pPr>
      <w:rPr>
        <w:rFont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0B265528"/>
    <w:multiLevelType w:val="hybridMultilevel"/>
    <w:tmpl w:val="4DF052BA"/>
    <w:lvl w:ilvl="0" w:tplc="040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B5A35DF"/>
    <w:multiLevelType w:val="hybridMultilevel"/>
    <w:tmpl w:val="563A63F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B9F0004"/>
    <w:multiLevelType w:val="hybridMultilevel"/>
    <w:tmpl w:val="6F9AF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3B617B"/>
    <w:multiLevelType w:val="hybridMultilevel"/>
    <w:tmpl w:val="E1C87340"/>
    <w:lvl w:ilvl="0" w:tplc="040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D2F6661"/>
    <w:multiLevelType w:val="hybridMultilevel"/>
    <w:tmpl w:val="6124F810"/>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15:restartNumberingAfterBreak="0">
    <w:nsid w:val="13380A00"/>
    <w:multiLevelType w:val="hybridMultilevel"/>
    <w:tmpl w:val="B694EF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4F11B94"/>
    <w:multiLevelType w:val="hybridMultilevel"/>
    <w:tmpl w:val="7E4A65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71D6F13"/>
    <w:multiLevelType w:val="hybridMultilevel"/>
    <w:tmpl w:val="19A417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AA71D50"/>
    <w:multiLevelType w:val="hybridMultilevel"/>
    <w:tmpl w:val="F1A62B74"/>
    <w:lvl w:ilvl="0" w:tplc="5C6E5AFC">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0A52383"/>
    <w:multiLevelType w:val="hybridMultilevel"/>
    <w:tmpl w:val="1CBA7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0F2287C"/>
    <w:multiLevelType w:val="hybridMultilevel"/>
    <w:tmpl w:val="B456BE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D364D9"/>
    <w:multiLevelType w:val="hybridMultilevel"/>
    <w:tmpl w:val="60DC6AC2"/>
    <w:lvl w:ilvl="0" w:tplc="059A5254">
      <w:start w:val="1"/>
      <w:numFmt w:val="decimal"/>
      <w:lvlText w:val="%1."/>
      <w:lvlJc w:val="left"/>
      <w:pPr>
        <w:ind w:left="721" w:hanging="360"/>
      </w:pPr>
      <w:rPr>
        <w:color w:val="auto"/>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22" w15:restartNumberingAfterBreak="0">
    <w:nsid w:val="2D181CA0"/>
    <w:multiLevelType w:val="hybridMultilevel"/>
    <w:tmpl w:val="AC444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B534E0"/>
    <w:multiLevelType w:val="hybridMultilevel"/>
    <w:tmpl w:val="621078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E0C3D5B"/>
    <w:multiLevelType w:val="hybridMultilevel"/>
    <w:tmpl w:val="C8309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F923F98"/>
    <w:multiLevelType w:val="hybridMultilevel"/>
    <w:tmpl w:val="62C0F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5763269"/>
    <w:multiLevelType w:val="hybridMultilevel"/>
    <w:tmpl w:val="356E4B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1AF2769"/>
    <w:multiLevelType w:val="hybridMultilevel"/>
    <w:tmpl w:val="5AF260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7BC2F23"/>
    <w:multiLevelType w:val="hybridMultilevel"/>
    <w:tmpl w:val="3EA21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C12DB4"/>
    <w:multiLevelType w:val="hybridMultilevel"/>
    <w:tmpl w:val="11180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772399"/>
    <w:multiLevelType w:val="hybridMultilevel"/>
    <w:tmpl w:val="F476E800"/>
    <w:lvl w:ilvl="0" w:tplc="040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4CE25026"/>
    <w:multiLevelType w:val="hybridMultilevel"/>
    <w:tmpl w:val="2BA4B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894AAE"/>
    <w:multiLevelType w:val="hybridMultilevel"/>
    <w:tmpl w:val="7CF67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E30AAB"/>
    <w:multiLevelType w:val="hybridMultilevel"/>
    <w:tmpl w:val="F6D85A7C"/>
    <w:lvl w:ilvl="0" w:tplc="837A7FC8">
      <w:start w:val="2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3D313F8"/>
    <w:multiLevelType w:val="hybridMultilevel"/>
    <w:tmpl w:val="498250F6"/>
    <w:lvl w:ilvl="0" w:tplc="AD9EFB7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8382C30"/>
    <w:multiLevelType w:val="hybridMultilevel"/>
    <w:tmpl w:val="D3C022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861490E"/>
    <w:multiLevelType w:val="hybridMultilevel"/>
    <w:tmpl w:val="B5F65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9C232E6"/>
    <w:multiLevelType w:val="hybridMultilevel"/>
    <w:tmpl w:val="D3F62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D2F1E6F"/>
    <w:multiLevelType w:val="hybridMultilevel"/>
    <w:tmpl w:val="0E88E0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D3A53E8"/>
    <w:multiLevelType w:val="hybridMultilevel"/>
    <w:tmpl w:val="BB44AA68"/>
    <w:lvl w:ilvl="0" w:tplc="E8D48E2E">
      <w:start w:val="1"/>
      <w:numFmt w:val="upperRoman"/>
      <w:lvlText w:val="%1."/>
      <w:lvlJc w:val="right"/>
      <w:pPr>
        <w:ind w:left="720" w:hanging="360"/>
      </w:pPr>
      <w:rPr>
        <w:b/>
        <w:bCs/>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FAD43E0"/>
    <w:multiLevelType w:val="hybridMultilevel"/>
    <w:tmpl w:val="5A5C1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1570906"/>
    <w:multiLevelType w:val="hybridMultilevel"/>
    <w:tmpl w:val="4EC6677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62C90EA2"/>
    <w:multiLevelType w:val="hybridMultilevel"/>
    <w:tmpl w:val="31642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478147B"/>
    <w:multiLevelType w:val="hybridMultilevel"/>
    <w:tmpl w:val="BBAEB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47F220A"/>
    <w:multiLevelType w:val="hybridMultilevel"/>
    <w:tmpl w:val="F6D26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699487B"/>
    <w:multiLevelType w:val="hybridMultilevel"/>
    <w:tmpl w:val="C4324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772444D"/>
    <w:multiLevelType w:val="hybridMultilevel"/>
    <w:tmpl w:val="EE6EA4D8"/>
    <w:lvl w:ilvl="0" w:tplc="040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6B6670F9"/>
    <w:multiLevelType w:val="hybridMultilevel"/>
    <w:tmpl w:val="A8E6E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2A203A9"/>
    <w:multiLevelType w:val="hybridMultilevel"/>
    <w:tmpl w:val="52E6C31C"/>
    <w:lvl w:ilvl="0" w:tplc="04090001">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50D568B"/>
    <w:multiLevelType w:val="hybridMultilevel"/>
    <w:tmpl w:val="943EB47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D8049520">
      <w:start w:val="21"/>
      <w:numFmt w:val="decimal"/>
      <w:lvlText w:val="%3."/>
      <w:lvlJc w:val="left"/>
      <w:pPr>
        <w:ind w:left="2220" w:hanging="420"/>
      </w:pPr>
      <w:rPr>
        <w:rFont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6D932A3"/>
    <w:multiLevelType w:val="hybridMultilevel"/>
    <w:tmpl w:val="B5922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E694EE7"/>
    <w:multiLevelType w:val="hybridMultilevel"/>
    <w:tmpl w:val="734C92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7F0A05FB"/>
    <w:multiLevelType w:val="hybridMultilevel"/>
    <w:tmpl w:val="539E6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6988180">
    <w:abstractNumId w:val="0"/>
  </w:num>
  <w:num w:numId="2" w16cid:durableId="1879315499">
    <w:abstractNumId w:val="20"/>
  </w:num>
  <w:num w:numId="3" w16cid:durableId="405150934">
    <w:abstractNumId w:val="50"/>
  </w:num>
  <w:num w:numId="4" w16cid:durableId="116143137">
    <w:abstractNumId w:val="19"/>
  </w:num>
  <w:num w:numId="5" w16cid:durableId="286131915">
    <w:abstractNumId w:val="36"/>
  </w:num>
  <w:num w:numId="6" w16cid:durableId="477693596">
    <w:abstractNumId w:val="11"/>
  </w:num>
  <w:num w:numId="7" w16cid:durableId="1189417496">
    <w:abstractNumId w:val="43"/>
  </w:num>
  <w:num w:numId="8" w16cid:durableId="1567758664">
    <w:abstractNumId w:val="3"/>
  </w:num>
  <w:num w:numId="9" w16cid:durableId="426851511">
    <w:abstractNumId w:val="52"/>
  </w:num>
  <w:num w:numId="10" w16cid:durableId="1124039335">
    <w:abstractNumId w:val="23"/>
  </w:num>
  <w:num w:numId="11" w16cid:durableId="328560140">
    <w:abstractNumId w:val="6"/>
  </w:num>
  <w:num w:numId="12" w16cid:durableId="1810786414">
    <w:abstractNumId w:val="1"/>
  </w:num>
  <w:num w:numId="13" w16cid:durableId="658922496">
    <w:abstractNumId w:val="27"/>
  </w:num>
  <w:num w:numId="14" w16cid:durableId="1890724593">
    <w:abstractNumId w:val="14"/>
  </w:num>
  <w:num w:numId="15" w16cid:durableId="696194618">
    <w:abstractNumId w:val="35"/>
  </w:num>
  <w:num w:numId="16" w16cid:durableId="467356383">
    <w:abstractNumId w:val="10"/>
  </w:num>
  <w:num w:numId="17" w16cid:durableId="434135096">
    <w:abstractNumId w:val="15"/>
  </w:num>
  <w:num w:numId="18" w16cid:durableId="1051425076">
    <w:abstractNumId w:val="5"/>
  </w:num>
  <w:num w:numId="19" w16cid:durableId="470756017">
    <w:abstractNumId w:val="48"/>
  </w:num>
  <w:num w:numId="20" w16cid:durableId="1828813651">
    <w:abstractNumId w:val="42"/>
  </w:num>
  <w:num w:numId="21" w16cid:durableId="1498156379">
    <w:abstractNumId w:val="16"/>
  </w:num>
  <w:num w:numId="22" w16cid:durableId="555899887">
    <w:abstractNumId w:val="7"/>
  </w:num>
  <w:num w:numId="23" w16cid:durableId="51849984">
    <w:abstractNumId w:val="28"/>
  </w:num>
  <w:num w:numId="24" w16cid:durableId="1213543740">
    <w:abstractNumId w:val="2"/>
  </w:num>
  <w:num w:numId="25" w16cid:durableId="1764375638">
    <w:abstractNumId w:val="30"/>
  </w:num>
  <w:num w:numId="26" w16cid:durableId="1324892596">
    <w:abstractNumId w:val="17"/>
  </w:num>
  <w:num w:numId="27" w16cid:durableId="1866166534">
    <w:abstractNumId w:val="26"/>
  </w:num>
  <w:num w:numId="28" w16cid:durableId="1598295438">
    <w:abstractNumId w:val="24"/>
  </w:num>
  <w:num w:numId="29" w16cid:durableId="717823141">
    <w:abstractNumId w:val="9"/>
  </w:num>
  <w:num w:numId="30" w16cid:durableId="2006009783">
    <w:abstractNumId w:val="46"/>
  </w:num>
  <w:num w:numId="31" w16cid:durableId="261650481">
    <w:abstractNumId w:val="32"/>
  </w:num>
  <w:num w:numId="32" w16cid:durableId="810175992">
    <w:abstractNumId w:val="44"/>
  </w:num>
  <w:num w:numId="33" w16cid:durableId="89469492">
    <w:abstractNumId w:val="22"/>
  </w:num>
  <w:num w:numId="34" w16cid:durableId="1052192679">
    <w:abstractNumId w:val="45"/>
  </w:num>
  <w:num w:numId="35" w16cid:durableId="1393120333">
    <w:abstractNumId w:val="4"/>
  </w:num>
  <w:num w:numId="36" w16cid:durableId="1679693130">
    <w:abstractNumId w:val="12"/>
  </w:num>
  <w:num w:numId="37" w16cid:durableId="2035839340">
    <w:abstractNumId w:val="34"/>
  </w:num>
  <w:num w:numId="38" w16cid:durableId="238558255">
    <w:abstractNumId w:val="47"/>
  </w:num>
  <w:num w:numId="39" w16cid:durableId="1225022694">
    <w:abstractNumId w:val="18"/>
  </w:num>
  <w:num w:numId="40" w16cid:durableId="602804673">
    <w:abstractNumId w:val="31"/>
  </w:num>
  <w:num w:numId="41" w16cid:durableId="152843539">
    <w:abstractNumId w:val="40"/>
  </w:num>
  <w:num w:numId="42" w16cid:durableId="1570726258">
    <w:abstractNumId w:val="21"/>
  </w:num>
  <w:num w:numId="43" w16cid:durableId="376704546">
    <w:abstractNumId w:val="38"/>
  </w:num>
  <w:num w:numId="44" w16cid:durableId="914894676">
    <w:abstractNumId w:val="39"/>
  </w:num>
  <w:num w:numId="45" w16cid:durableId="1848246938">
    <w:abstractNumId w:val="49"/>
  </w:num>
  <w:num w:numId="46" w16cid:durableId="26491871">
    <w:abstractNumId w:val="51"/>
  </w:num>
  <w:num w:numId="47" w16cid:durableId="1336346791">
    <w:abstractNumId w:val="8"/>
  </w:num>
  <w:num w:numId="48" w16cid:durableId="1650986349">
    <w:abstractNumId w:val="33"/>
  </w:num>
  <w:num w:numId="49" w16cid:durableId="1665624481">
    <w:abstractNumId w:val="41"/>
  </w:num>
  <w:num w:numId="50" w16cid:durableId="24445832">
    <w:abstractNumId w:val="25"/>
  </w:num>
  <w:num w:numId="51" w16cid:durableId="444034154">
    <w:abstractNumId w:val="13"/>
  </w:num>
  <w:num w:numId="52" w16cid:durableId="1676037071">
    <w:abstractNumId w:val="37"/>
  </w:num>
  <w:num w:numId="53" w16cid:durableId="595140671">
    <w:abstractNumId w:val="2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126"/>
    <w:rsid w:val="00000001"/>
    <w:rsid w:val="000015BC"/>
    <w:rsid w:val="00002DEC"/>
    <w:rsid w:val="000050C8"/>
    <w:rsid w:val="00005889"/>
    <w:rsid w:val="000062A6"/>
    <w:rsid w:val="000063CB"/>
    <w:rsid w:val="000065AC"/>
    <w:rsid w:val="00006A0A"/>
    <w:rsid w:val="00006BA6"/>
    <w:rsid w:val="000075C6"/>
    <w:rsid w:val="00010CCA"/>
    <w:rsid w:val="00011848"/>
    <w:rsid w:val="00014305"/>
    <w:rsid w:val="00020016"/>
    <w:rsid w:val="0002025B"/>
    <w:rsid w:val="0002120C"/>
    <w:rsid w:val="0002181B"/>
    <w:rsid w:val="00022A79"/>
    <w:rsid w:val="00022CB0"/>
    <w:rsid w:val="00024AB5"/>
    <w:rsid w:val="00025EDC"/>
    <w:rsid w:val="00026370"/>
    <w:rsid w:val="00027ED1"/>
    <w:rsid w:val="0003220F"/>
    <w:rsid w:val="00032E74"/>
    <w:rsid w:val="00035053"/>
    <w:rsid w:val="00035364"/>
    <w:rsid w:val="0004015E"/>
    <w:rsid w:val="00042302"/>
    <w:rsid w:val="0004236C"/>
    <w:rsid w:val="00044358"/>
    <w:rsid w:val="000471F0"/>
    <w:rsid w:val="000477BD"/>
    <w:rsid w:val="0005337D"/>
    <w:rsid w:val="000547C0"/>
    <w:rsid w:val="000615D1"/>
    <w:rsid w:val="00062A1D"/>
    <w:rsid w:val="000642C1"/>
    <w:rsid w:val="00064B90"/>
    <w:rsid w:val="000710FD"/>
    <w:rsid w:val="0007374A"/>
    <w:rsid w:val="0007396E"/>
    <w:rsid w:val="000772C2"/>
    <w:rsid w:val="00080404"/>
    <w:rsid w:val="00080CED"/>
    <w:rsid w:val="00082002"/>
    <w:rsid w:val="00083542"/>
    <w:rsid w:val="00084742"/>
    <w:rsid w:val="00087586"/>
    <w:rsid w:val="0008F5D2"/>
    <w:rsid w:val="0009169B"/>
    <w:rsid w:val="00091A12"/>
    <w:rsid w:val="00092BE5"/>
    <w:rsid w:val="000940BE"/>
    <w:rsid w:val="000944BD"/>
    <w:rsid w:val="000948DB"/>
    <w:rsid w:val="00094FEE"/>
    <w:rsid w:val="000962ED"/>
    <w:rsid w:val="00096A20"/>
    <w:rsid w:val="00096F5B"/>
    <w:rsid w:val="000A0648"/>
    <w:rsid w:val="000A173C"/>
    <w:rsid w:val="000A1A47"/>
    <w:rsid w:val="000A1E27"/>
    <w:rsid w:val="000A7631"/>
    <w:rsid w:val="000A7982"/>
    <w:rsid w:val="000A7D42"/>
    <w:rsid w:val="000B08F9"/>
    <w:rsid w:val="000B1EF2"/>
    <w:rsid w:val="000B2E68"/>
    <w:rsid w:val="000B504F"/>
    <w:rsid w:val="000B5B67"/>
    <w:rsid w:val="000B6357"/>
    <w:rsid w:val="000C0A0A"/>
    <w:rsid w:val="000C3708"/>
    <w:rsid w:val="000C3761"/>
    <w:rsid w:val="000C49D8"/>
    <w:rsid w:val="000C5B85"/>
    <w:rsid w:val="000C60A0"/>
    <w:rsid w:val="000C7373"/>
    <w:rsid w:val="000D23AF"/>
    <w:rsid w:val="000E24A0"/>
    <w:rsid w:val="000E313B"/>
    <w:rsid w:val="000E3AEE"/>
    <w:rsid w:val="000E3E9D"/>
    <w:rsid w:val="000E5420"/>
    <w:rsid w:val="000E6127"/>
    <w:rsid w:val="000F075E"/>
    <w:rsid w:val="000F088B"/>
    <w:rsid w:val="000F0BFB"/>
    <w:rsid w:val="000F4BB1"/>
    <w:rsid w:val="000F767D"/>
    <w:rsid w:val="00101FAD"/>
    <w:rsid w:val="00102064"/>
    <w:rsid w:val="001036B5"/>
    <w:rsid w:val="00103898"/>
    <w:rsid w:val="00103B5B"/>
    <w:rsid w:val="001047E2"/>
    <w:rsid w:val="00105EF3"/>
    <w:rsid w:val="00107C22"/>
    <w:rsid w:val="00107ED0"/>
    <w:rsid w:val="001108DD"/>
    <w:rsid w:val="0011286E"/>
    <w:rsid w:val="00112E69"/>
    <w:rsid w:val="00113899"/>
    <w:rsid w:val="00113F65"/>
    <w:rsid w:val="00114D8C"/>
    <w:rsid w:val="001160B6"/>
    <w:rsid w:val="001177E4"/>
    <w:rsid w:val="001204AE"/>
    <w:rsid w:val="001216DC"/>
    <w:rsid w:val="0012204E"/>
    <w:rsid w:val="00122459"/>
    <w:rsid w:val="00122DC1"/>
    <w:rsid w:val="00125212"/>
    <w:rsid w:val="00126017"/>
    <w:rsid w:val="00131098"/>
    <w:rsid w:val="00133377"/>
    <w:rsid w:val="001333C7"/>
    <w:rsid w:val="00135082"/>
    <w:rsid w:val="00135DC7"/>
    <w:rsid w:val="001368A3"/>
    <w:rsid w:val="00136A5F"/>
    <w:rsid w:val="00141E00"/>
    <w:rsid w:val="00143222"/>
    <w:rsid w:val="00144427"/>
    <w:rsid w:val="0014523A"/>
    <w:rsid w:val="00147C5D"/>
    <w:rsid w:val="00147ED1"/>
    <w:rsid w:val="001500D6"/>
    <w:rsid w:val="001500F2"/>
    <w:rsid w:val="001504FE"/>
    <w:rsid w:val="001526B3"/>
    <w:rsid w:val="001566E7"/>
    <w:rsid w:val="00156B6E"/>
    <w:rsid w:val="00157C41"/>
    <w:rsid w:val="00161B42"/>
    <w:rsid w:val="00163A94"/>
    <w:rsid w:val="00165402"/>
    <w:rsid w:val="001661D9"/>
    <w:rsid w:val="001708EC"/>
    <w:rsid w:val="00171B64"/>
    <w:rsid w:val="001725F3"/>
    <w:rsid w:val="00172E3C"/>
    <w:rsid w:val="0017744E"/>
    <w:rsid w:val="0018090B"/>
    <w:rsid w:val="00183EFD"/>
    <w:rsid w:val="00187AEC"/>
    <w:rsid w:val="00190FAF"/>
    <w:rsid w:val="0019156B"/>
    <w:rsid w:val="0019196F"/>
    <w:rsid w:val="00191BFD"/>
    <w:rsid w:val="001924EE"/>
    <w:rsid w:val="001925A8"/>
    <w:rsid w:val="0019673D"/>
    <w:rsid w:val="00196F09"/>
    <w:rsid w:val="001A1FEC"/>
    <w:rsid w:val="001A2E36"/>
    <w:rsid w:val="001A2EED"/>
    <w:rsid w:val="001A367C"/>
    <w:rsid w:val="001A46BB"/>
    <w:rsid w:val="001A4B96"/>
    <w:rsid w:val="001A7007"/>
    <w:rsid w:val="001B1C77"/>
    <w:rsid w:val="001B2BE4"/>
    <w:rsid w:val="001B3B69"/>
    <w:rsid w:val="001B5A60"/>
    <w:rsid w:val="001C2845"/>
    <w:rsid w:val="001C285A"/>
    <w:rsid w:val="001C35F5"/>
    <w:rsid w:val="001C36D7"/>
    <w:rsid w:val="001C39D9"/>
    <w:rsid w:val="001C55E0"/>
    <w:rsid w:val="001C7484"/>
    <w:rsid w:val="001C79DD"/>
    <w:rsid w:val="001D37B8"/>
    <w:rsid w:val="001D6369"/>
    <w:rsid w:val="001E2AF7"/>
    <w:rsid w:val="001E34CB"/>
    <w:rsid w:val="001E52AE"/>
    <w:rsid w:val="001E5ECF"/>
    <w:rsid w:val="001E6228"/>
    <w:rsid w:val="001F78C3"/>
    <w:rsid w:val="001F7BBA"/>
    <w:rsid w:val="00203D17"/>
    <w:rsid w:val="00205195"/>
    <w:rsid w:val="00206A30"/>
    <w:rsid w:val="0021065F"/>
    <w:rsid w:val="002109DF"/>
    <w:rsid w:val="00210F11"/>
    <w:rsid w:val="00211CA3"/>
    <w:rsid w:val="00213395"/>
    <w:rsid w:val="002140D0"/>
    <w:rsid w:val="00214AB8"/>
    <w:rsid w:val="00214C1E"/>
    <w:rsid w:val="002160C7"/>
    <w:rsid w:val="00222A49"/>
    <w:rsid w:val="0022552E"/>
    <w:rsid w:val="002301D2"/>
    <w:rsid w:val="00232F4F"/>
    <w:rsid w:val="00232FF7"/>
    <w:rsid w:val="00234383"/>
    <w:rsid w:val="00236A49"/>
    <w:rsid w:val="00236CA2"/>
    <w:rsid w:val="0023772B"/>
    <w:rsid w:val="00237993"/>
    <w:rsid w:val="002400F5"/>
    <w:rsid w:val="00240E02"/>
    <w:rsid w:val="0024129E"/>
    <w:rsid w:val="00242FF1"/>
    <w:rsid w:val="002468AE"/>
    <w:rsid w:val="00250D80"/>
    <w:rsid w:val="00252BB6"/>
    <w:rsid w:val="0025334E"/>
    <w:rsid w:val="002559AB"/>
    <w:rsid w:val="00261247"/>
    <w:rsid w:val="00264409"/>
    <w:rsid w:val="00264652"/>
    <w:rsid w:val="00264CE9"/>
    <w:rsid w:val="00265451"/>
    <w:rsid w:val="00265E58"/>
    <w:rsid w:val="00265EEC"/>
    <w:rsid w:val="0026645F"/>
    <w:rsid w:val="002675F0"/>
    <w:rsid w:val="00270286"/>
    <w:rsid w:val="00271168"/>
    <w:rsid w:val="0027124F"/>
    <w:rsid w:val="002716D1"/>
    <w:rsid w:val="00272996"/>
    <w:rsid w:val="00281E5D"/>
    <w:rsid w:val="00282084"/>
    <w:rsid w:val="00282415"/>
    <w:rsid w:val="002844AC"/>
    <w:rsid w:val="002867B2"/>
    <w:rsid w:val="00291052"/>
    <w:rsid w:val="002917DD"/>
    <w:rsid w:val="00291CB5"/>
    <w:rsid w:val="00292EA4"/>
    <w:rsid w:val="002934D2"/>
    <w:rsid w:val="002941B1"/>
    <w:rsid w:val="00295666"/>
    <w:rsid w:val="00297C28"/>
    <w:rsid w:val="002A1113"/>
    <w:rsid w:val="002A22BD"/>
    <w:rsid w:val="002A450A"/>
    <w:rsid w:val="002A63FF"/>
    <w:rsid w:val="002A6DA8"/>
    <w:rsid w:val="002B0252"/>
    <w:rsid w:val="002B3B5D"/>
    <w:rsid w:val="002B4AC6"/>
    <w:rsid w:val="002B5B4C"/>
    <w:rsid w:val="002B5E79"/>
    <w:rsid w:val="002B644B"/>
    <w:rsid w:val="002B670A"/>
    <w:rsid w:val="002B6F6D"/>
    <w:rsid w:val="002C04FC"/>
    <w:rsid w:val="002C0637"/>
    <w:rsid w:val="002C0859"/>
    <w:rsid w:val="002C0D78"/>
    <w:rsid w:val="002C12DE"/>
    <w:rsid w:val="002C13F7"/>
    <w:rsid w:val="002C1C5F"/>
    <w:rsid w:val="002C1F76"/>
    <w:rsid w:val="002C4F7F"/>
    <w:rsid w:val="002C7E62"/>
    <w:rsid w:val="002D03E9"/>
    <w:rsid w:val="002D366E"/>
    <w:rsid w:val="002D38B8"/>
    <w:rsid w:val="002D51ED"/>
    <w:rsid w:val="002E0859"/>
    <w:rsid w:val="002E091B"/>
    <w:rsid w:val="002E2997"/>
    <w:rsid w:val="002E3427"/>
    <w:rsid w:val="002E4954"/>
    <w:rsid w:val="002E533A"/>
    <w:rsid w:val="002E5C1C"/>
    <w:rsid w:val="002F1297"/>
    <w:rsid w:val="002F1947"/>
    <w:rsid w:val="002F2E7B"/>
    <w:rsid w:val="002F39B5"/>
    <w:rsid w:val="002F4113"/>
    <w:rsid w:val="002F4C94"/>
    <w:rsid w:val="002F64F8"/>
    <w:rsid w:val="002F6A45"/>
    <w:rsid w:val="002F72F3"/>
    <w:rsid w:val="0030057F"/>
    <w:rsid w:val="003017F1"/>
    <w:rsid w:val="00303ABA"/>
    <w:rsid w:val="00306D94"/>
    <w:rsid w:val="00307E82"/>
    <w:rsid w:val="003117FE"/>
    <w:rsid w:val="003125DF"/>
    <w:rsid w:val="003133A4"/>
    <w:rsid w:val="003151B2"/>
    <w:rsid w:val="0031592E"/>
    <w:rsid w:val="00317268"/>
    <w:rsid w:val="00317427"/>
    <w:rsid w:val="00317F22"/>
    <w:rsid w:val="00320C5D"/>
    <w:rsid w:val="00321EBF"/>
    <w:rsid w:val="00321EF7"/>
    <w:rsid w:val="003221A8"/>
    <w:rsid w:val="0032248D"/>
    <w:rsid w:val="00323C8C"/>
    <w:rsid w:val="0032423A"/>
    <w:rsid w:val="00331676"/>
    <w:rsid w:val="00332AAA"/>
    <w:rsid w:val="0033417A"/>
    <w:rsid w:val="00334607"/>
    <w:rsid w:val="00334BB9"/>
    <w:rsid w:val="003356A9"/>
    <w:rsid w:val="00335736"/>
    <w:rsid w:val="00336AFA"/>
    <w:rsid w:val="00337D38"/>
    <w:rsid w:val="0034405E"/>
    <w:rsid w:val="003522A7"/>
    <w:rsid w:val="00352606"/>
    <w:rsid w:val="00352C51"/>
    <w:rsid w:val="00353630"/>
    <w:rsid w:val="003563D2"/>
    <w:rsid w:val="0035663C"/>
    <w:rsid w:val="00356B3D"/>
    <w:rsid w:val="003571E7"/>
    <w:rsid w:val="00360BD0"/>
    <w:rsid w:val="00360E5F"/>
    <w:rsid w:val="0036305D"/>
    <w:rsid w:val="00364DB9"/>
    <w:rsid w:val="0036708C"/>
    <w:rsid w:val="00371861"/>
    <w:rsid w:val="00371B3C"/>
    <w:rsid w:val="00372D01"/>
    <w:rsid w:val="00372D89"/>
    <w:rsid w:val="00376FA5"/>
    <w:rsid w:val="00377473"/>
    <w:rsid w:val="00382B63"/>
    <w:rsid w:val="003856FC"/>
    <w:rsid w:val="00387A75"/>
    <w:rsid w:val="003915A7"/>
    <w:rsid w:val="00391FF2"/>
    <w:rsid w:val="003936C2"/>
    <w:rsid w:val="003936C4"/>
    <w:rsid w:val="00393AC7"/>
    <w:rsid w:val="00395A16"/>
    <w:rsid w:val="003A1066"/>
    <w:rsid w:val="003A1479"/>
    <w:rsid w:val="003A1813"/>
    <w:rsid w:val="003A2A48"/>
    <w:rsid w:val="003A39BC"/>
    <w:rsid w:val="003A7A22"/>
    <w:rsid w:val="003B2429"/>
    <w:rsid w:val="003B2E67"/>
    <w:rsid w:val="003B49CC"/>
    <w:rsid w:val="003B4F59"/>
    <w:rsid w:val="003B6BD6"/>
    <w:rsid w:val="003B7D82"/>
    <w:rsid w:val="003C05DC"/>
    <w:rsid w:val="003C14C5"/>
    <w:rsid w:val="003C17C5"/>
    <w:rsid w:val="003C4644"/>
    <w:rsid w:val="003C468B"/>
    <w:rsid w:val="003C5BE3"/>
    <w:rsid w:val="003C76DA"/>
    <w:rsid w:val="003C7748"/>
    <w:rsid w:val="003D0F84"/>
    <w:rsid w:val="003D14AE"/>
    <w:rsid w:val="003D1577"/>
    <w:rsid w:val="003D2631"/>
    <w:rsid w:val="003D3C14"/>
    <w:rsid w:val="003E105B"/>
    <w:rsid w:val="003E45F9"/>
    <w:rsid w:val="003F11C7"/>
    <w:rsid w:val="003F2676"/>
    <w:rsid w:val="003F2A74"/>
    <w:rsid w:val="003F63C1"/>
    <w:rsid w:val="0040077F"/>
    <w:rsid w:val="00403D41"/>
    <w:rsid w:val="0040419D"/>
    <w:rsid w:val="00404806"/>
    <w:rsid w:val="004063C0"/>
    <w:rsid w:val="004110D7"/>
    <w:rsid w:val="00413A7C"/>
    <w:rsid w:val="004141DD"/>
    <w:rsid w:val="00414C2A"/>
    <w:rsid w:val="004239B8"/>
    <w:rsid w:val="00433BB7"/>
    <w:rsid w:val="00434209"/>
    <w:rsid w:val="004345A9"/>
    <w:rsid w:val="004349B3"/>
    <w:rsid w:val="00434D3D"/>
    <w:rsid w:val="00436150"/>
    <w:rsid w:val="00441910"/>
    <w:rsid w:val="00441C74"/>
    <w:rsid w:val="004425EA"/>
    <w:rsid w:val="004432E2"/>
    <w:rsid w:val="004476EE"/>
    <w:rsid w:val="00450BDB"/>
    <w:rsid w:val="0045258B"/>
    <w:rsid w:val="00455B75"/>
    <w:rsid w:val="00460539"/>
    <w:rsid w:val="00461804"/>
    <w:rsid w:val="00463316"/>
    <w:rsid w:val="00466810"/>
    <w:rsid w:val="00466F1D"/>
    <w:rsid w:val="00470EF8"/>
    <w:rsid w:val="00471277"/>
    <w:rsid w:val="00471989"/>
    <w:rsid w:val="00474530"/>
    <w:rsid w:val="004749FD"/>
    <w:rsid w:val="00476E9B"/>
    <w:rsid w:val="00480DB0"/>
    <w:rsid w:val="004827FE"/>
    <w:rsid w:val="00483946"/>
    <w:rsid w:val="00483DD2"/>
    <w:rsid w:val="00485195"/>
    <w:rsid w:val="004855FB"/>
    <w:rsid w:val="004863A9"/>
    <w:rsid w:val="0048670E"/>
    <w:rsid w:val="004948D6"/>
    <w:rsid w:val="00494E6F"/>
    <w:rsid w:val="00495A29"/>
    <w:rsid w:val="0049642D"/>
    <w:rsid w:val="004970BB"/>
    <w:rsid w:val="00497307"/>
    <w:rsid w:val="004A0056"/>
    <w:rsid w:val="004A0967"/>
    <w:rsid w:val="004A163E"/>
    <w:rsid w:val="004A1B4D"/>
    <w:rsid w:val="004A20C7"/>
    <w:rsid w:val="004A2365"/>
    <w:rsid w:val="004A242C"/>
    <w:rsid w:val="004A2E8C"/>
    <w:rsid w:val="004A58DD"/>
    <w:rsid w:val="004A6119"/>
    <w:rsid w:val="004A7C0C"/>
    <w:rsid w:val="004B0BCE"/>
    <w:rsid w:val="004B2313"/>
    <w:rsid w:val="004B3396"/>
    <w:rsid w:val="004B3C4D"/>
    <w:rsid w:val="004B4327"/>
    <w:rsid w:val="004B47DC"/>
    <w:rsid w:val="004B499F"/>
    <w:rsid w:val="004B643D"/>
    <w:rsid w:val="004B6D01"/>
    <w:rsid w:val="004B7A49"/>
    <w:rsid w:val="004C0B12"/>
    <w:rsid w:val="004C5208"/>
    <w:rsid w:val="004C6970"/>
    <w:rsid w:val="004C6B5C"/>
    <w:rsid w:val="004C7608"/>
    <w:rsid w:val="004D10BF"/>
    <w:rsid w:val="004D1B35"/>
    <w:rsid w:val="004D1B61"/>
    <w:rsid w:val="004D5995"/>
    <w:rsid w:val="004D6140"/>
    <w:rsid w:val="004E0AE1"/>
    <w:rsid w:val="004E56AB"/>
    <w:rsid w:val="004E61DB"/>
    <w:rsid w:val="004E6261"/>
    <w:rsid w:val="004E707A"/>
    <w:rsid w:val="004E72F4"/>
    <w:rsid w:val="004E75B3"/>
    <w:rsid w:val="004F04BA"/>
    <w:rsid w:val="004F0EFF"/>
    <w:rsid w:val="004F22FD"/>
    <w:rsid w:val="004F2ECB"/>
    <w:rsid w:val="004F573B"/>
    <w:rsid w:val="004F5940"/>
    <w:rsid w:val="004F710D"/>
    <w:rsid w:val="004F7F81"/>
    <w:rsid w:val="0050093F"/>
    <w:rsid w:val="00504971"/>
    <w:rsid w:val="005059C7"/>
    <w:rsid w:val="00506E96"/>
    <w:rsid w:val="00514788"/>
    <w:rsid w:val="0052074B"/>
    <w:rsid w:val="00521703"/>
    <w:rsid w:val="00521853"/>
    <w:rsid w:val="005238CC"/>
    <w:rsid w:val="005247AF"/>
    <w:rsid w:val="00524A11"/>
    <w:rsid w:val="005258D9"/>
    <w:rsid w:val="00530032"/>
    <w:rsid w:val="00530419"/>
    <w:rsid w:val="00530932"/>
    <w:rsid w:val="00530F60"/>
    <w:rsid w:val="00532A7B"/>
    <w:rsid w:val="00533349"/>
    <w:rsid w:val="0053387F"/>
    <w:rsid w:val="005344B4"/>
    <w:rsid w:val="00534B01"/>
    <w:rsid w:val="00536963"/>
    <w:rsid w:val="00536D29"/>
    <w:rsid w:val="005371BB"/>
    <w:rsid w:val="0054120A"/>
    <w:rsid w:val="00541275"/>
    <w:rsid w:val="00541EFE"/>
    <w:rsid w:val="005422F8"/>
    <w:rsid w:val="0054371B"/>
    <w:rsid w:val="00543BE6"/>
    <w:rsid w:val="00543D95"/>
    <w:rsid w:val="00544B31"/>
    <w:rsid w:val="00552497"/>
    <w:rsid w:val="00554905"/>
    <w:rsid w:val="00556501"/>
    <w:rsid w:val="0055650D"/>
    <w:rsid w:val="0056001D"/>
    <w:rsid w:val="00561958"/>
    <w:rsid w:val="00561D87"/>
    <w:rsid w:val="00562028"/>
    <w:rsid w:val="00563549"/>
    <w:rsid w:val="005641D2"/>
    <w:rsid w:val="005645F0"/>
    <w:rsid w:val="00565445"/>
    <w:rsid w:val="0056615E"/>
    <w:rsid w:val="005666F2"/>
    <w:rsid w:val="005669A6"/>
    <w:rsid w:val="00570059"/>
    <w:rsid w:val="00572EF1"/>
    <w:rsid w:val="00573AC0"/>
    <w:rsid w:val="005746C6"/>
    <w:rsid w:val="00574B87"/>
    <w:rsid w:val="0057583B"/>
    <w:rsid w:val="00577B73"/>
    <w:rsid w:val="00581324"/>
    <w:rsid w:val="00581958"/>
    <w:rsid w:val="00582D0F"/>
    <w:rsid w:val="0058345D"/>
    <w:rsid w:val="00584EBD"/>
    <w:rsid w:val="00587172"/>
    <w:rsid w:val="005901C1"/>
    <w:rsid w:val="00590471"/>
    <w:rsid w:val="00590FBC"/>
    <w:rsid w:val="00592567"/>
    <w:rsid w:val="005935CC"/>
    <w:rsid w:val="00593D07"/>
    <w:rsid w:val="00594291"/>
    <w:rsid w:val="00595A74"/>
    <w:rsid w:val="0059789B"/>
    <w:rsid w:val="005A018F"/>
    <w:rsid w:val="005A1B56"/>
    <w:rsid w:val="005A2B25"/>
    <w:rsid w:val="005A2DA0"/>
    <w:rsid w:val="005A3AAB"/>
    <w:rsid w:val="005A4871"/>
    <w:rsid w:val="005A53B5"/>
    <w:rsid w:val="005A69F9"/>
    <w:rsid w:val="005A6E11"/>
    <w:rsid w:val="005B0659"/>
    <w:rsid w:val="005B28C1"/>
    <w:rsid w:val="005B2DDF"/>
    <w:rsid w:val="005B49AB"/>
    <w:rsid w:val="005B4AE7"/>
    <w:rsid w:val="005B53B0"/>
    <w:rsid w:val="005C23AA"/>
    <w:rsid w:val="005C2405"/>
    <w:rsid w:val="005C34E7"/>
    <w:rsid w:val="005C3F18"/>
    <w:rsid w:val="005D0DE6"/>
    <w:rsid w:val="005D28B6"/>
    <w:rsid w:val="005D45B3"/>
    <w:rsid w:val="005E10E5"/>
    <w:rsid w:val="005E1672"/>
    <w:rsid w:val="005E2257"/>
    <w:rsid w:val="005E268E"/>
    <w:rsid w:val="005E34CA"/>
    <w:rsid w:val="005E5A25"/>
    <w:rsid w:val="005E5B74"/>
    <w:rsid w:val="005E5CD5"/>
    <w:rsid w:val="005E6E29"/>
    <w:rsid w:val="005F0018"/>
    <w:rsid w:val="005F1471"/>
    <w:rsid w:val="005F264F"/>
    <w:rsid w:val="005F560C"/>
    <w:rsid w:val="005F6005"/>
    <w:rsid w:val="005F704B"/>
    <w:rsid w:val="005F7982"/>
    <w:rsid w:val="005F7C84"/>
    <w:rsid w:val="005F7F7C"/>
    <w:rsid w:val="006040B8"/>
    <w:rsid w:val="00604126"/>
    <w:rsid w:val="006043D2"/>
    <w:rsid w:val="0060477B"/>
    <w:rsid w:val="006064AB"/>
    <w:rsid w:val="00607A8C"/>
    <w:rsid w:val="00611034"/>
    <w:rsid w:val="00613597"/>
    <w:rsid w:val="0061405B"/>
    <w:rsid w:val="00614896"/>
    <w:rsid w:val="00615372"/>
    <w:rsid w:val="00621FEE"/>
    <w:rsid w:val="006248BC"/>
    <w:rsid w:val="0062716E"/>
    <w:rsid w:val="00635C7D"/>
    <w:rsid w:val="0063651F"/>
    <w:rsid w:val="00637262"/>
    <w:rsid w:val="00641098"/>
    <w:rsid w:val="0064198E"/>
    <w:rsid w:val="006423D6"/>
    <w:rsid w:val="00642740"/>
    <w:rsid w:val="00642DC1"/>
    <w:rsid w:val="00642E9A"/>
    <w:rsid w:val="00645024"/>
    <w:rsid w:val="00645976"/>
    <w:rsid w:val="00646333"/>
    <w:rsid w:val="006525DA"/>
    <w:rsid w:val="00655345"/>
    <w:rsid w:val="0066332B"/>
    <w:rsid w:val="00664624"/>
    <w:rsid w:val="00665804"/>
    <w:rsid w:val="0067142A"/>
    <w:rsid w:val="00672536"/>
    <w:rsid w:val="00674B9E"/>
    <w:rsid w:val="006773AE"/>
    <w:rsid w:val="0068006F"/>
    <w:rsid w:val="0068050E"/>
    <w:rsid w:val="006806D4"/>
    <w:rsid w:val="006818AF"/>
    <w:rsid w:val="00681EDC"/>
    <w:rsid w:val="00682D11"/>
    <w:rsid w:val="006837ED"/>
    <w:rsid w:val="00684043"/>
    <w:rsid w:val="006840D0"/>
    <w:rsid w:val="0068481A"/>
    <w:rsid w:val="0068649F"/>
    <w:rsid w:val="00687189"/>
    <w:rsid w:val="00687905"/>
    <w:rsid w:val="0069120A"/>
    <w:rsid w:val="00691BA0"/>
    <w:rsid w:val="0069394F"/>
    <w:rsid w:val="00693FB7"/>
    <w:rsid w:val="0069563D"/>
    <w:rsid w:val="00697CCC"/>
    <w:rsid w:val="006A1203"/>
    <w:rsid w:val="006A1361"/>
    <w:rsid w:val="006A4FDE"/>
    <w:rsid w:val="006A7D13"/>
    <w:rsid w:val="006B0027"/>
    <w:rsid w:val="006B02CA"/>
    <w:rsid w:val="006B13B7"/>
    <w:rsid w:val="006B2314"/>
    <w:rsid w:val="006B2942"/>
    <w:rsid w:val="006B37F7"/>
    <w:rsid w:val="006B3994"/>
    <w:rsid w:val="006B41A5"/>
    <w:rsid w:val="006B7122"/>
    <w:rsid w:val="006B79F2"/>
    <w:rsid w:val="006C0E45"/>
    <w:rsid w:val="006C188F"/>
    <w:rsid w:val="006C1FD8"/>
    <w:rsid w:val="006C28FA"/>
    <w:rsid w:val="006D2DAE"/>
    <w:rsid w:val="006D4615"/>
    <w:rsid w:val="006D4829"/>
    <w:rsid w:val="006D49A1"/>
    <w:rsid w:val="006E0B74"/>
    <w:rsid w:val="006E22B4"/>
    <w:rsid w:val="006E625B"/>
    <w:rsid w:val="006E6531"/>
    <w:rsid w:val="006F293F"/>
    <w:rsid w:val="006F2F80"/>
    <w:rsid w:val="006F3B38"/>
    <w:rsid w:val="006F5F22"/>
    <w:rsid w:val="00700E83"/>
    <w:rsid w:val="007015A1"/>
    <w:rsid w:val="00702EA4"/>
    <w:rsid w:val="007031D5"/>
    <w:rsid w:val="007034D5"/>
    <w:rsid w:val="00703D12"/>
    <w:rsid w:val="007056B5"/>
    <w:rsid w:val="0070653F"/>
    <w:rsid w:val="007065AB"/>
    <w:rsid w:val="0070765D"/>
    <w:rsid w:val="00712027"/>
    <w:rsid w:val="00713484"/>
    <w:rsid w:val="007137A4"/>
    <w:rsid w:val="00721B69"/>
    <w:rsid w:val="0072239C"/>
    <w:rsid w:val="0072248E"/>
    <w:rsid w:val="00722581"/>
    <w:rsid w:val="00723E76"/>
    <w:rsid w:val="00726266"/>
    <w:rsid w:val="00732779"/>
    <w:rsid w:val="007378C1"/>
    <w:rsid w:val="0074009D"/>
    <w:rsid w:val="00744F03"/>
    <w:rsid w:val="0074778B"/>
    <w:rsid w:val="00747A14"/>
    <w:rsid w:val="00750C64"/>
    <w:rsid w:val="00751595"/>
    <w:rsid w:val="00751879"/>
    <w:rsid w:val="00751B26"/>
    <w:rsid w:val="00752896"/>
    <w:rsid w:val="007547EE"/>
    <w:rsid w:val="0075514B"/>
    <w:rsid w:val="00756E13"/>
    <w:rsid w:val="00762967"/>
    <w:rsid w:val="00763823"/>
    <w:rsid w:val="00766192"/>
    <w:rsid w:val="007676F0"/>
    <w:rsid w:val="0077225E"/>
    <w:rsid w:val="007736DA"/>
    <w:rsid w:val="007751F2"/>
    <w:rsid w:val="00777A0D"/>
    <w:rsid w:val="00777CE7"/>
    <w:rsid w:val="00784E90"/>
    <w:rsid w:val="0078604D"/>
    <w:rsid w:val="007865C7"/>
    <w:rsid w:val="00787429"/>
    <w:rsid w:val="00792AC3"/>
    <w:rsid w:val="00793452"/>
    <w:rsid w:val="00793F48"/>
    <w:rsid w:val="00794565"/>
    <w:rsid w:val="00796D1E"/>
    <w:rsid w:val="0079794F"/>
    <w:rsid w:val="00797A4E"/>
    <w:rsid w:val="007A162B"/>
    <w:rsid w:val="007A1D49"/>
    <w:rsid w:val="007B35B2"/>
    <w:rsid w:val="007B3D98"/>
    <w:rsid w:val="007B5038"/>
    <w:rsid w:val="007B6751"/>
    <w:rsid w:val="007B73DA"/>
    <w:rsid w:val="007C0E53"/>
    <w:rsid w:val="007C3EC2"/>
    <w:rsid w:val="007C6078"/>
    <w:rsid w:val="007C7831"/>
    <w:rsid w:val="007D066E"/>
    <w:rsid w:val="007D126C"/>
    <w:rsid w:val="007D1FFF"/>
    <w:rsid w:val="007D3F08"/>
    <w:rsid w:val="007D42A0"/>
    <w:rsid w:val="007D48EC"/>
    <w:rsid w:val="007D655B"/>
    <w:rsid w:val="007E0CF2"/>
    <w:rsid w:val="007E200C"/>
    <w:rsid w:val="007E38C5"/>
    <w:rsid w:val="007E45D3"/>
    <w:rsid w:val="007E4FE1"/>
    <w:rsid w:val="007E5067"/>
    <w:rsid w:val="007E6605"/>
    <w:rsid w:val="007E685C"/>
    <w:rsid w:val="007F095B"/>
    <w:rsid w:val="007F0F40"/>
    <w:rsid w:val="007F6108"/>
    <w:rsid w:val="007F7097"/>
    <w:rsid w:val="007F7288"/>
    <w:rsid w:val="00800361"/>
    <w:rsid w:val="00800B47"/>
    <w:rsid w:val="00802000"/>
    <w:rsid w:val="00802993"/>
    <w:rsid w:val="00802ACB"/>
    <w:rsid w:val="008036E1"/>
    <w:rsid w:val="00803C16"/>
    <w:rsid w:val="00804D79"/>
    <w:rsid w:val="008056A1"/>
    <w:rsid w:val="008067A6"/>
    <w:rsid w:val="00806E2A"/>
    <w:rsid w:val="00810DDC"/>
    <w:rsid w:val="008147BE"/>
    <w:rsid w:val="008148B5"/>
    <w:rsid w:val="008167A9"/>
    <w:rsid w:val="00820465"/>
    <w:rsid w:val="008214CC"/>
    <w:rsid w:val="008251B3"/>
    <w:rsid w:val="008253D5"/>
    <w:rsid w:val="00825801"/>
    <w:rsid w:val="00827162"/>
    <w:rsid w:val="00831340"/>
    <w:rsid w:val="00831817"/>
    <w:rsid w:val="0083239C"/>
    <w:rsid w:val="00833007"/>
    <w:rsid w:val="0083359D"/>
    <w:rsid w:val="00834BCB"/>
    <w:rsid w:val="00837B06"/>
    <w:rsid w:val="0084008E"/>
    <w:rsid w:val="008415F5"/>
    <w:rsid w:val="00841D91"/>
    <w:rsid w:val="00844F1D"/>
    <w:rsid w:val="0084676C"/>
    <w:rsid w:val="0084749F"/>
    <w:rsid w:val="0085070C"/>
    <w:rsid w:val="00850C00"/>
    <w:rsid w:val="008520EE"/>
    <w:rsid w:val="008546E7"/>
    <w:rsid w:val="0085696D"/>
    <w:rsid w:val="00857921"/>
    <w:rsid w:val="008579AE"/>
    <w:rsid w:val="00857F44"/>
    <w:rsid w:val="00860EDF"/>
    <w:rsid w:val="008627FA"/>
    <w:rsid w:val="00863C26"/>
    <w:rsid w:val="00864202"/>
    <w:rsid w:val="00865076"/>
    <w:rsid w:val="00867AC9"/>
    <w:rsid w:val="00867D0E"/>
    <w:rsid w:val="0087108B"/>
    <w:rsid w:val="008734A9"/>
    <w:rsid w:val="00875823"/>
    <w:rsid w:val="00876C20"/>
    <w:rsid w:val="00877D8C"/>
    <w:rsid w:val="00877E04"/>
    <w:rsid w:val="0087D681"/>
    <w:rsid w:val="00880470"/>
    <w:rsid w:val="00881C67"/>
    <w:rsid w:val="00883A96"/>
    <w:rsid w:val="008841D7"/>
    <w:rsid w:val="00887DF1"/>
    <w:rsid w:val="00890671"/>
    <w:rsid w:val="008906FB"/>
    <w:rsid w:val="00890F6E"/>
    <w:rsid w:val="00891D82"/>
    <w:rsid w:val="00893751"/>
    <w:rsid w:val="00894D6E"/>
    <w:rsid w:val="00896B85"/>
    <w:rsid w:val="00897EF0"/>
    <w:rsid w:val="008A0C6E"/>
    <w:rsid w:val="008A498D"/>
    <w:rsid w:val="008A552F"/>
    <w:rsid w:val="008B0029"/>
    <w:rsid w:val="008B0584"/>
    <w:rsid w:val="008B1232"/>
    <w:rsid w:val="008B19EA"/>
    <w:rsid w:val="008B5443"/>
    <w:rsid w:val="008B68B8"/>
    <w:rsid w:val="008B6BC8"/>
    <w:rsid w:val="008C0F53"/>
    <w:rsid w:val="008C60E0"/>
    <w:rsid w:val="008C610D"/>
    <w:rsid w:val="008C7EEB"/>
    <w:rsid w:val="008D0DEF"/>
    <w:rsid w:val="008D1CC7"/>
    <w:rsid w:val="008D2256"/>
    <w:rsid w:val="008D32A3"/>
    <w:rsid w:val="008D5E3D"/>
    <w:rsid w:val="008D6418"/>
    <w:rsid w:val="008D688B"/>
    <w:rsid w:val="008D6BE2"/>
    <w:rsid w:val="008D78DC"/>
    <w:rsid w:val="008E15BE"/>
    <w:rsid w:val="008E1C16"/>
    <w:rsid w:val="008E2DB7"/>
    <w:rsid w:val="008E5CCE"/>
    <w:rsid w:val="008E7080"/>
    <w:rsid w:val="008F182E"/>
    <w:rsid w:val="009000D0"/>
    <w:rsid w:val="009013E6"/>
    <w:rsid w:val="00901D32"/>
    <w:rsid w:val="00903348"/>
    <w:rsid w:val="00903515"/>
    <w:rsid w:val="009042D1"/>
    <w:rsid w:val="00904791"/>
    <w:rsid w:val="009049F7"/>
    <w:rsid w:val="00905BD3"/>
    <w:rsid w:val="0090626A"/>
    <w:rsid w:val="0090737A"/>
    <w:rsid w:val="0091017B"/>
    <w:rsid w:val="00911BF4"/>
    <w:rsid w:val="00911EF2"/>
    <w:rsid w:val="00913DED"/>
    <w:rsid w:val="00920A92"/>
    <w:rsid w:val="00921070"/>
    <w:rsid w:val="00921955"/>
    <w:rsid w:val="00921FC2"/>
    <w:rsid w:val="009222A3"/>
    <w:rsid w:val="009234EF"/>
    <w:rsid w:val="00923BBC"/>
    <w:rsid w:val="00925D82"/>
    <w:rsid w:val="009276CA"/>
    <w:rsid w:val="009277E7"/>
    <w:rsid w:val="0093181D"/>
    <w:rsid w:val="009318BB"/>
    <w:rsid w:val="00933447"/>
    <w:rsid w:val="00935F7F"/>
    <w:rsid w:val="00941BA6"/>
    <w:rsid w:val="0094516E"/>
    <w:rsid w:val="00945CD1"/>
    <w:rsid w:val="0095573F"/>
    <w:rsid w:val="00960748"/>
    <w:rsid w:val="0096108C"/>
    <w:rsid w:val="0096213A"/>
    <w:rsid w:val="00962353"/>
    <w:rsid w:val="00962A5B"/>
    <w:rsid w:val="00962E7F"/>
    <w:rsid w:val="00963BA0"/>
    <w:rsid w:val="009647EE"/>
    <w:rsid w:val="00967764"/>
    <w:rsid w:val="00967CB6"/>
    <w:rsid w:val="0097010B"/>
    <w:rsid w:val="00970F97"/>
    <w:rsid w:val="009714D0"/>
    <w:rsid w:val="00971B89"/>
    <w:rsid w:val="009741F9"/>
    <w:rsid w:val="00975553"/>
    <w:rsid w:val="0097581C"/>
    <w:rsid w:val="009770BA"/>
    <w:rsid w:val="009775C7"/>
    <w:rsid w:val="00980FB4"/>
    <w:rsid w:val="009810EE"/>
    <w:rsid w:val="00982203"/>
    <w:rsid w:val="009824A3"/>
    <w:rsid w:val="00983C88"/>
    <w:rsid w:val="00984CC9"/>
    <w:rsid w:val="009900E9"/>
    <w:rsid w:val="009906FE"/>
    <w:rsid w:val="00990D18"/>
    <w:rsid w:val="009914DF"/>
    <w:rsid w:val="00991EA4"/>
    <w:rsid w:val="0099233F"/>
    <w:rsid w:val="00992D87"/>
    <w:rsid w:val="00993003"/>
    <w:rsid w:val="009942DE"/>
    <w:rsid w:val="009955D8"/>
    <w:rsid w:val="0099629B"/>
    <w:rsid w:val="009972E5"/>
    <w:rsid w:val="009A4919"/>
    <w:rsid w:val="009A6551"/>
    <w:rsid w:val="009A78EE"/>
    <w:rsid w:val="009A7C7F"/>
    <w:rsid w:val="009B3205"/>
    <w:rsid w:val="009B4945"/>
    <w:rsid w:val="009B54A0"/>
    <w:rsid w:val="009B7CAF"/>
    <w:rsid w:val="009C0F0A"/>
    <w:rsid w:val="009C11D4"/>
    <w:rsid w:val="009C20C4"/>
    <w:rsid w:val="009C3B2C"/>
    <w:rsid w:val="009C4D90"/>
    <w:rsid w:val="009C63E3"/>
    <w:rsid w:val="009C6405"/>
    <w:rsid w:val="009C6473"/>
    <w:rsid w:val="009C6B4C"/>
    <w:rsid w:val="009D216B"/>
    <w:rsid w:val="009D4579"/>
    <w:rsid w:val="009D497A"/>
    <w:rsid w:val="009D66C0"/>
    <w:rsid w:val="009D6E45"/>
    <w:rsid w:val="009E35E6"/>
    <w:rsid w:val="009E4C19"/>
    <w:rsid w:val="009E52A2"/>
    <w:rsid w:val="009E5EB4"/>
    <w:rsid w:val="009E6432"/>
    <w:rsid w:val="009F2017"/>
    <w:rsid w:val="009F2162"/>
    <w:rsid w:val="009F4F58"/>
    <w:rsid w:val="009F77D0"/>
    <w:rsid w:val="00A02570"/>
    <w:rsid w:val="00A058F2"/>
    <w:rsid w:val="00A12406"/>
    <w:rsid w:val="00A16101"/>
    <w:rsid w:val="00A16304"/>
    <w:rsid w:val="00A22CD1"/>
    <w:rsid w:val="00A27941"/>
    <w:rsid w:val="00A30117"/>
    <w:rsid w:val="00A30799"/>
    <w:rsid w:val="00A31ECF"/>
    <w:rsid w:val="00A330F0"/>
    <w:rsid w:val="00A331BE"/>
    <w:rsid w:val="00A33DAB"/>
    <w:rsid w:val="00A3647C"/>
    <w:rsid w:val="00A3776A"/>
    <w:rsid w:val="00A37C57"/>
    <w:rsid w:val="00A37F6B"/>
    <w:rsid w:val="00A41089"/>
    <w:rsid w:val="00A428EC"/>
    <w:rsid w:val="00A515FA"/>
    <w:rsid w:val="00A519F3"/>
    <w:rsid w:val="00A52B50"/>
    <w:rsid w:val="00A52F7F"/>
    <w:rsid w:val="00A53454"/>
    <w:rsid w:val="00A5695D"/>
    <w:rsid w:val="00A5696D"/>
    <w:rsid w:val="00A57FE8"/>
    <w:rsid w:val="00A61013"/>
    <w:rsid w:val="00A6270A"/>
    <w:rsid w:val="00A64ECE"/>
    <w:rsid w:val="00A66185"/>
    <w:rsid w:val="00A702A1"/>
    <w:rsid w:val="00A70E2E"/>
    <w:rsid w:val="00A71CAD"/>
    <w:rsid w:val="00A731A2"/>
    <w:rsid w:val="00A763B3"/>
    <w:rsid w:val="00A768FE"/>
    <w:rsid w:val="00A77D49"/>
    <w:rsid w:val="00A80CB9"/>
    <w:rsid w:val="00A8162C"/>
    <w:rsid w:val="00A81FBE"/>
    <w:rsid w:val="00A827C1"/>
    <w:rsid w:val="00A82B7C"/>
    <w:rsid w:val="00A87CF5"/>
    <w:rsid w:val="00A9248E"/>
    <w:rsid w:val="00A93F40"/>
    <w:rsid w:val="00A94896"/>
    <w:rsid w:val="00A951A6"/>
    <w:rsid w:val="00A9562F"/>
    <w:rsid w:val="00A96F93"/>
    <w:rsid w:val="00AA297A"/>
    <w:rsid w:val="00AA3C5F"/>
    <w:rsid w:val="00AA5E67"/>
    <w:rsid w:val="00AA69F6"/>
    <w:rsid w:val="00AA7D6E"/>
    <w:rsid w:val="00AB560E"/>
    <w:rsid w:val="00AB6AFE"/>
    <w:rsid w:val="00AC1DF8"/>
    <w:rsid w:val="00AC3635"/>
    <w:rsid w:val="00AD38C8"/>
    <w:rsid w:val="00AD3C65"/>
    <w:rsid w:val="00AD55EE"/>
    <w:rsid w:val="00AD5780"/>
    <w:rsid w:val="00AD5978"/>
    <w:rsid w:val="00AD6A35"/>
    <w:rsid w:val="00AD7A26"/>
    <w:rsid w:val="00AD7D92"/>
    <w:rsid w:val="00AE01AE"/>
    <w:rsid w:val="00AE12C2"/>
    <w:rsid w:val="00AE2A39"/>
    <w:rsid w:val="00AE2ED7"/>
    <w:rsid w:val="00AE3B5B"/>
    <w:rsid w:val="00AE4E08"/>
    <w:rsid w:val="00AE5772"/>
    <w:rsid w:val="00AE69EE"/>
    <w:rsid w:val="00AE7CB3"/>
    <w:rsid w:val="00AF1B91"/>
    <w:rsid w:val="00AF22AD"/>
    <w:rsid w:val="00AF3DCA"/>
    <w:rsid w:val="00AF5107"/>
    <w:rsid w:val="00B00AF2"/>
    <w:rsid w:val="00B035AB"/>
    <w:rsid w:val="00B03AAD"/>
    <w:rsid w:val="00B04715"/>
    <w:rsid w:val="00B06264"/>
    <w:rsid w:val="00B076F6"/>
    <w:rsid w:val="00B07C8F"/>
    <w:rsid w:val="00B10BAC"/>
    <w:rsid w:val="00B10F27"/>
    <w:rsid w:val="00B126AA"/>
    <w:rsid w:val="00B129DF"/>
    <w:rsid w:val="00B12A3D"/>
    <w:rsid w:val="00B13198"/>
    <w:rsid w:val="00B162DE"/>
    <w:rsid w:val="00B16401"/>
    <w:rsid w:val="00B20061"/>
    <w:rsid w:val="00B25613"/>
    <w:rsid w:val="00B275D4"/>
    <w:rsid w:val="00B31F50"/>
    <w:rsid w:val="00B3208E"/>
    <w:rsid w:val="00B3266F"/>
    <w:rsid w:val="00B328C3"/>
    <w:rsid w:val="00B348F3"/>
    <w:rsid w:val="00B36131"/>
    <w:rsid w:val="00B44A15"/>
    <w:rsid w:val="00B45D32"/>
    <w:rsid w:val="00B504C8"/>
    <w:rsid w:val="00B50752"/>
    <w:rsid w:val="00B50CD0"/>
    <w:rsid w:val="00B50E35"/>
    <w:rsid w:val="00B53796"/>
    <w:rsid w:val="00B54FAC"/>
    <w:rsid w:val="00B5502E"/>
    <w:rsid w:val="00B55459"/>
    <w:rsid w:val="00B55BED"/>
    <w:rsid w:val="00B60DFE"/>
    <w:rsid w:val="00B627A6"/>
    <w:rsid w:val="00B628FA"/>
    <w:rsid w:val="00B646E7"/>
    <w:rsid w:val="00B64F18"/>
    <w:rsid w:val="00B67AF2"/>
    <w:rsid w:val="00B70534"/>
    <w:rsid w:val="00B727D0"/>
    <w:rsid w:val="00B72EC0"/>
    <w:rsid w:val="00B75051"/>
    <w:rsid w:val="00B7586F"/>
    <w:rsid w:val="00B83620"/>
    <w:rsid w:val="00B84C97"/>
    <w:rsid w:val="00B859DE"/>
    <w:rsid w:val="00B864E1"/>
    <w:rsid w:val="00B90F16"/>
    <w:rsid w:val="00B91A4D"/>
    <w:rsid w:val="00B942CA"/>
    <w:rsid w:val="00B945F5"/>
    <w:rsid w:val="00B9518B"/>
    <w:rsid w:val="00B9616E"/>
    <w:rsid w:val="00B963B1"/>
    <w:rsid w:val="00B973D2"/>
    <w:rsid w:val="00BA398E"/>
    <w:rsid w:val="00BA3C28"/>
    <w:rsid w:val="00BA7078"/>
    <w:rsid w:val="00BB28CB"/>
    <w:rsid w:val="00BB3750"/>
    <w:rsid w:val="00BB7094"/>
    <w:rsid w:val="00BC2616"/>
    <w:rsid w:val="00BC38A0"/>
    <w:rsid w:val="00BC4C9D"/>
    <w:rsid w:val="00BD0AC0"/>
    <w:rsid w:val="00BD0E59"/>
    <w:rsid w:val="00BD3952"/>
    <w:rsid w:val="00BD3B2A"/>
    <w:rsid w:val="00BE02BB"/>
    <w:rsid w:val="00BE0B8C"/>
    <w:rsid w:val="00BE2226"/>
    <w:rsid w:val="00BE45BD"/>
    <w:rsid w:val="00BE6279"/>
    <w:rsid w:val="00BE7426"/>
    <w:rsid w:val="00BF090A"/>
    <w:rsid w:val="00BF138B"/>
    <w:rsid w:val="00BF2E9A"/>
    <w:rsid w:val="00C01BA1"/>
    <w:rsid w:val="00C10712"/>
    <w:rsid w:val="00C10989"/>
    <w:rsid w:val="00C11812"/>
    <w:rsid w:val="00C126A3"/>
    <w:rsid w:val="00C12D2F"/>
    <w:rsid w:val="00C13C29"/>
    <w:rsid w:val="00C14BB7"/>
    <w:rsid w:val="00C14D08"/>
    <w:rsid w:val="00C17DCE"/>
    <w:rsid w:val="00C22B05"/>
    <w:rsid w:val="00C25C50"/>
    <w:rsid w:val="00C277A8"/>
    <w:rsid w:val="00C309AE"/>
    <w:rsid w:val="00C315E4"/>
    <w:rsid w:val="00C31A23"/>
    <w:rsid w:val="00C34DBB"/>
    <w:rsid w:val="00C3507A"/>
    <w:rsid w:val="00C35BDC"/>
    <w:rsid w:val="00C365CE"/>
    <w:rsid w:val="00C37D3F"/>
    <w:rsid w:val="00C40BFE"/>
    <w:rsid w:val="00C40E87"/>
    <w:rsid w:val="00C416BC"/>
    <w:rsid w:val="00C417EB"/>
    <w:rsid w:val="00C41D22"/>
    <w:rsid w:val="00C41F16"/>
    <w:rsid w:val="00C42D92"/>
    <w:rsid w:val="00C4463F"/>
    <w:rsid w:val="00C448C2"/>
    <w:rsid w:val="00C45397"/>
    <w:rsid w:val="00C46BDD"/>
    <w:rsid w:val="00C5095C"/>
    <w:rsid w:val="00C52082"/>
    <w:rsid w:val="00C528AE"/>
    <w:rsid w:val="00C52F15"/>
    <w:rsid w:val="00C55E47"/>
    <w:rsid w:val="00C60DBE"/>
    <w:rsid w:val="00C60F8E"/>
    <w:rsid w:val="00C628E1"/>
    <w:rsid w:val="00C633EC"/>
    <w:rsid w:val="00C650C7"/>
    <w:rsid w:val="00C65D37"/>
    <w:rsid w:val="00C66E96"/>
    <w:rsid w:val="00C73840"/>
    <w:rsid w:val="00C765AB"/>
    <w:rsid w:val="00C844C5"/>
    <w:rsid w:val="00C85392"/>
    <w:rsid w:val="00C855AE"/>
    <w:rsid w:val="00C8598C"/>
    <w:rsid w:val="00C9043D"/>
    <w:rsid w:val="00C918D2"/>
    <w:rsid w:val="00C91977"/>
    <w:rsid w:val="00C94A16"/>
    <w:rsid w:val="00C94A63"/>
    <w:rsid w:val="00C9562C"/>
    <w:rsid w:val="00C969E4"/>
    <w:rsid w:val="00CA2CB7"/>
    <w:rsid w:val="00CA37D2"/>
    <w:rsid w:val="00CA4232"/>
    <w:rsid w:val="00CA5680"/>
    <w:rsid w:val="00CB1DA3"/>
    <w:rsid w:val="00CB3174"/>
    <w:rsid w:val="00CB6830"/>
    <w:rsid w:val="00CC4673"/>
    <w:rsid w:val="00CC7D95"/>
    <w:rsid w:val="00CD0B1B"/>
    <w:rsid w:val="00CD30FD"/>
    <w:rsid w:val="00CD3769"/>
    <w:rsid w:val="00CD37D6"/>
    <w:rsid w:val="00CE1CE8"/>
    <w:rsid w:val="00CE2998"/>
    <w:rsid w:val="00CE2DE1"/>
    <w:rsid w:val="00CE39E6"/>
    <w:rsid w:val="00CE45B0"/>
    <w:rsid w:val="00CE4DBD"/>
    <w:rsid w:val="00CE5EA5"/>
    <w:rsid w:val="00CF12E1"/>
    <w:rsid w:val="00CF1D5D"/>
    <w:rsid w:val="00CF53B9"/>
    <w:rsid w:val="00CF74EC"/>
    <w:rsid w:val="00CF76F2"/>
    <w:rsid w:val="00D0014D"/>
    <w:rsid w:val="00D006F3"/>
    <w:rsid w:val="00D026B5"/>
    <w:rsid w:val="00D02F15"/>
    <w:rsid w:val="00D03A07"/>
    <w:rsid w:val="00D058E9"/>
    <w:rsid w:val="00D0608C"/>
    <w:rsid w:val="00D0698B"/>
    <w:rsid w:val="00D06DB7"/>
    <w:rsid w:val="00D1191D"/>
    <w:rsid w:val="00D119D9"/>
    <w:rsid w:val="00D11CCB"/>
    <w:rsid w:val="00D14B00"/>
    <w:rsid w:val="00D158E1"/>
    <w:rsid w:val="00D224FA"/>
    <w:rsid w:val="00D22819"/>
    <w:rsid w:val="00D2694C"/>
    <w:rsid w:val="00D30007"/>
    <w:rsid w:val="00D30B57"/>
    <w:rsid w:val="00D3338E"/>
    <w:rsid w:val="00D3481A"/>
    <w:rsid w:val="00D35657"/>
    <w:rsid w:val="00D415FC"/>
    <w:rsid w:val="00D41E28"/>
    <w:rsid w:val="00D44546"/>
    <w:rsid w:val="00D44C6B"/>
    <w:rsid w:val="00D511F0"/>
    <w:rsid w:val="00D52B60"/>
    <w:rsid w:val="00D539D7"/>
    <w:rsid w:val="00D53BA7"/>
    <w:rsid w:val="00D54EE5"/>
    <w:rsid w:val="00D559DD"/>
    <w:rsid w:val="00D6240F"/>
    <w:rsid w:val="00D63D77"/>
    <w:rsid w:val="00D63F82"/>
    <w:rsid w:val="00D640FC"/>
    <w:rsid w:val="00D66E43"/>
    <w:rsid w:val="00D70F7D"/>
    <w:rsid w:val="00D71760"/>
    <w:rsid w:val="00D72FAC"/>
    <w:rsid w:val="00D73B97"/>
    <w:rsid w:val="00D746F4"/>
    <w:rsid w:val="00D75001"/>
    <w:rsid w:val="00D75C99"/>
    <w:rsid w:val="00D76365"/>
    <w:rsid w:val="00D8565C"/>
    <w:rsid w:val="00D8698A"/>
    <w:rsid w:val="00D869BF"/>
    <w:rsid w:val="00D926B6"/>
    <w:rsid w:val="00D927A3"/>
    <w:rsid w:val="00D92889"/>
    <w:rsid w:val="00D92929"/>
    <w:rsid w:val="00D92DF1"/>
    <w:rsid w:val="00D93C2E"/>
    <w:rsid w:val="00D964CC"/>
    <w:rsid w:val="00D970A5"/>
    <w:rsid w:val="00DA10AB"/>
    <w:rsid w:val="00DA3405"/>
    <w:rsid w:val="00DA4E06"/>
    <w:rsid w:val="00DA5AFD"/>
    <w:rsid w:val="00DA7214"/>
    <w:rsid w:val="00DA7BF8"/>
    <w:rsid w:val="00DA7E14"/>
    <w:rsid w:val="00DB0AED"/>
    <w:rsid w:val="00DB2A8B"/>
    <w:rsid w:val="00DB2B26"/>
    <w:rsid w:val="00DB2C54"/>
    <w:rsid w:val="00DB4967"/>
    <w:rsid w:val="00DB51B9"/>
    <w:rsid w:val="00DB5B0A"/>
    <w:rsid w:val="00DB6CA2"/>
    <w:rsid w:val="00DC0BF4"/>
    <w:rsid w:val="00DC2565"/>
    <w:rsid w:val="00DC28FB"/>
    <w:rsid w:val="00DC4E44"/>
    <w:rsid w:val="00DC4F30"/>
    <w:rsid w:val="00DC54B1"/>
    <w:rsid w:val="00DC6A94"/>
    <w:rsid w:val="00DC720F"/>
    <w:rsid w:val="00DC7B7C"/>
    <w:rsid w:val="00DD0F04"/>
    <w:rsid w:val="00DD17DC"/>
    <w:rsid w:val="00DD5B86"/>
    <w:rsid w:val="00DD6A27"/>
    <w:rsid w:val="00DD7576"/>
    <w:rsid w:val="00DD7977"/>
    <w:rsid w:val="00DE3730"/>
    <w:rsid w:val="00DE50CB"/>
    <w:rsid w:val="00DE5523"/>
    <w:rsid w:val="00DE7D35"/>
    <w:rsid w:val="00DF0192"/>
    <w:rsid w:val="00DF1BE7"/>
    <w:rsid w:val="00DF351F"/>
    <w:rsid w:val="00DF43BB"/>
    <w:rsid w:val="00DF4EE8"/>
    <w:rsid w:val="00E003FF"/>
    <w:rsid w:val="00E005C5"/>
    <w:rsid w:val="00E022BC"/>
    <w:rsid w:val="00E02353"/>
    <w:rsid w:val="00E02E57"/>
    <w:rsid w:val="00E03114"/>
    <w:rsid w:val="00E03E02"/>
    <w:rsid w:val="00E05E9F"/>
    <w:rsid w:val="00E076C2"/>
    <w:rsid w:val="00E138AD"/>
    <w:rsid w:val="00E16AB8"/>
    <w:rsid w:val="00E206AE"/>
    <w:rsid w:val="00E23397"/>
    <w:rsid w:val="00E24933"/>
    <w:rsid w:val="00E26804"/>
    <w:rsid w:val="00E2781A"/>
    <w:rsid w:val="00E27B1F"/>
    <w:rsid w:val="00E30E6B"/>
    <w:rsid w:val="00E32CD7"/>
    <w:rsid w:val="00E3350C"/>
    <w:rsid w:val="00E33955"/>
    <w:rsid w:val="00E347EA"/>
    <w:rsid w:val="00E35F62"/>
    <w:rsid w:val="00E35FCE"/>
    <w:rsid w:val="00E44EE1"/>
    <w:rsid w:val="00E45F7B"/>
    <w:rsid w:val="00E46256"/>
    <w:rsid w:val="00E4662B"/>
    <w:rsid w:val="00E4669F"/>
    <w:rsid w:val="00E5241D"/>
    <w:rsid w:val="00E52BD8"/>
    <w:rsid w:val="00E53BFD"/>
    <w:rsid w:val="00E53CEC"/>
    <w:rsid w:val="00E53F20"/>
    <w:rsid w:val="00E544B8"/>
    <w:rsid w:val="00E5473E"/>
    <w:rsid w:val="00E55B59"/>
    <w:rsid w:val="00E5680C"/>
    <w:rsid w:val="00E56DE3"/>
    <w:rsid w:val="00E573BA"/>
    <w:rsid w:val="00E61A16"/>
    <w:rsid w:val="00E6430B"/>
    <w:rsid w:val="00E74660"/>
    <w:rsid w:val="00E754DB"/>
    <w:rsid w:val="00E76267"/>
    <w:rsid w:val="00E7750F"/>
    <w:rsid w:val="00E7764F"/>
    <w:rsid w:val="00E81B51"/>
    <w:rsid w:val="00E821FD"/>
    <w:rsid w:val="00E84FAF"/>
    <w:rsid w:val="00E84FE4"/>
    <w:rsid w:val="00E8661A"/>
    <w:rsid w:val="00E91D0F"/>
    <w:rsid w:val="00E91E70"/>
    <w:rsid w:val="00E92F0D"/>
    <w:rsid w:val="00E93FC3"/>
    <w:rsid w:val="00E94CEA"/>
    <w:rsid w:val="00E956C6"/>
    <w:rsid w:val="00E97183"/>
    <w:rsid w:val="00E97392"/>
    <w:rsid w:val="00EA0644"/>
    <w:rsid w:val="00EA1D30"/>
    <w:rsid w:val="00EA535B"/>
    <w:rsid w:val="00EB0661"/>
    <w:rsid w:val="00EB0E2F"/>
    <w:rsid w:val="00EB0F1B"/>
    <w:rsid w:val="00EB1032"/>
    <w:rsid w:val="00EB3A9C"/>
    <w:rsid w:val="00EB5539"/>
    <w:rsid w:val="00EC0334"/>
    <w:rsid w:val="00EC0CE6"/>
    <w:rsid w:val="00EC1CFB"/>
    <w:rsid w:val="00EC2A04"/>
    <w:rsid w:val="00EC2AD0"/>
    <w:rsid w:val="00EC579D"/>
    <w:rsid w:val="00EC6A6B"/>
    <w:rsid w:val="00ED188E"/>
    <w:rsid w:val="00ED190A"/>
    <w:rsid w:val="00ED45B1"/>
    <w:rsid w:val="00ED53BD"/>
    <w:rsid w:val="00ED551B"/>
    <w:rsid w:val="00ED5BDC"/>
    <w:rsid w:val="00ED7DAC"/>
    <w:rsid w:val="00EE092E"/>
    <w:rsid w:val="00EE15FF"/>
    <w:rsid w:val="00EE36C2"/>
    <w:rsid w:val="00EE3CEF"/>
    <w:rsid w:val="00EF1266"/>
    <w:rsid w:val="00EF4134"/>
    <w:rsid w:val="00EF7C60"/>
    <w:rsid w:val="00F01BDF"/>
    <w:rsid w:val="00F01DB4"/>
    <w:rsid w:val="00F0356B"/>
    <w:rsid w:val="00F0465A"/>
    <w:rsid w:val="00F05ED3"/>
    <w:rsid w:val="00F067A6"/>
    <w:rsid w:val="00F10850"/>
    <w:rsid w:val="00F114AF"/>
    <w:rsid w:val="00F11C82"/>
    <w:rsid w:val="00F12824"/>
    <w:rsid w:val="00F14C74"/>
    <w:rsid w:val="00F166DA"/>
    <w:rsid w:val="00F17542"/>
    <w:rsid w:val="00F20589"/>
    <w:rsid w:val="00F22E89"/>
    <w:rsid w:val="00F248F2"/>
    <w:rsid w:val="00F24AFE"/>
    <w:rsid w:val="00F276C0"/>
    <w:rsid w:val="00F31435"/>
    <w:rsid w:val="00F336CD"/>
    <w:rsid w:val="00F35D81"/>
    <w:rsid w:val="00F37840"/>
    <w:rsid w:val="00F40BDB"/>
    <w:rsid w:val="00F40CD9"/>
    <w:rsid w:val="00F45124"/>
    <w:rsid w:val="00F47E4D"/>
    <w:rsid w:val="00F51898"/>
    <w:rsid w:val="00F525D5"/>
    <w:rsid w:val="00F542DC"/>
    <w:rsid w:val="00F55D52"/>
    <w:rsid w:val="00F567AB"/>
    <w:rsid w:val="00F60657"/>
    <w:rsid w:val="00F63BDB"/>
    <w:rsid w:val="00F63E23"/>
    <w:rsid w:val="00F64F5C"/>
    <w:rsid w:val="00F65439"/>
    <w:rsid w:val="00F70C03"/>
    <w:rsid w:val="00F721C8"/>
    <w:rsid w:val="00F72609"/>
    <w:rsid w:val="00F773CC"/>
    <w:rsid w:val="00F779D7"/>
    <w:rsid w:val="00F77F8C"/>
    <w:rsid w:val="00F81512"/>
    <w:rsid w:val="00F81BEC"/>
    <w:rsid w:val="00F82828"/>
    <w:rsid w:val="00F835BF"/>
    <w:rsid w:val="00F878FC"/>
    <w:rsid w:val="00F9084A"/>
    <w:rsid w:val="00F910C4"/>
    <w:rsid w:val="00F93222"/>
    <w:rsid w:val="00F97AFE"/>
    <w:rsid w:val="00FA1FC3"/>
    <w:rsid w:val="00FA522E"/>
    <w:rsid w:val="00FB086E"/>
    <w:rsid w:val="00FB1EC1"/>
    <w:rsid w:val="00FB3E94"/>
    <w:rsid w:val="00FB4D5F"/>
    <w:rsid w:val="00FB4F27"/>
    <w:rsid w:val="00FB6E40"/>
    <w:rsid w:val="00FC240D"/>
    <w:rsid w:val="00FC2F01"/>
    <w:rsid w:val="00FC3A86"/>
    <w:rsid w:val="00FC5476"/>
    <w:rsid w:val="00FD01FC"/>
    <w:rsid w:val="00FD074D"/>
    <w:rsid w:val="00FD1CCB"/>
    <w:rsid w:val="00FD36D4"/>
    <w:rsid w:val="00FD52FE"/>
    <w:rsid w:val="00FE0E7E"/>
    <w:rsid w:val="00FE3A3A"/>
    <w:rsid w:val="00FE6D45"/>
    <w:rsid w:val="00FE7C7A"/>
    <w:rsid w:val="00FF05FE"/>
    <w:rsid w:val="00FF2433"/>
    <w:rsid w:val="00FF695A"/>
    <w:rsid w:val="034A816B"/>
    <w:rsid w:val="044720E2"/>
    <w:rsid w:val="04DDF1C4"/>
    <w:rsid w:val="059B76C4"/>
    <w:rsid w:val="05FC7AD1"/>
    <w:rsid w:val="07751AD7"/>
    <w:rsid w:val="07BB7124"/>
    <w:rsid w:val="081AD851"/>
    <w:rsid w:val="08BB29B5"/>
    <w:rsid w:val="0965BC38"/>
    <w:rsid w:val="0A9A1F3A"/>
    <w:rsid w:val="0B00F521"/>
    <w:rsid w:val="0B1FD582"/>
    <w:rsid w:val="0B477FA7"/>
    <w:rsid w:val="0BE5DA22"/>
    <w:rsid w:val="0DED55E8"/>
    <w:rsid w:val="0E2475A6"/>
    <w:rsid w:val="0E715E9C"/>
    <w:rsid w:val="0F959A47"/>
    <w:rsid w:val="1134C0D3"/>
    <w:rsid w:val="11D5465D"/>
    <w:rsid w:val="1258CB1C"/>
    <w:rsid w:val="127ABDFE"/>
    <w:rsid w:val="12890046"/>
    <w:rsid w:val="12C8D37A"/>
    <w:rsid w:val="12ECEA5C"/>
    <w:rsid w:val="13320C44"/>
    <w:rsid w:val="134FCF05"/>
    <w:rsid w:val="1385E802"/>
    <w:rsid w:val="13D40D24"/>
    <w:rsid w:val="147948AD"/>
    <w:rsid w:val="155E2B4F"/>
    <w:rsid w:val="18BC0D6D"/>
    <w:rsid w:val="192653DF"/>
    <w:rsid w:val="193DC06C"/>
    <w:rsid w:val="195CC909"/>
    <w:rsid w:val="1A32FCE8"/>
    <w:rsid w:val="1A709F14"/>
    <w:rsid w:val="1AC0AE8D"/>
    <w:rsid w:val="1B543D6F"/>
    <w:rsid w:val="1BE69530"/>
    <w:rsid w:val="1E4CE9F7"/>
    <w:rsid w:val="1EF59C85"/>
    <w:rsid w:val="1FB82721"/>
    <w:rsid w:val="204866BD"/>
    <w:rsid w:val="21C75FE7"/>
    <w:rsid w:val="22237E99"/>
    <w:rsid w:val="23A0277E"/>
    <w:rsid w:val="24FDA2D6"/>
    <w:rsid w:val="265FD7BC"/>
    <w:rsid w:val="283126A8"/>
    <w:rsid w:val="289AD0EE"/>
    <w:rsid w:val="289F18AD"/>
    <w:rsid w:val="2A4728C4"/>
    <w:rsid w:val="2B697CD0"/>
    <w:rsid w:val="2B9845A6"/>
    <w:rsid w:val="2BE36AD6"/>
    <w:rsid w:val="2C4DCA59"/>
    <w:rsid w:val="2CC843C8"/>
    <w:rsid w:val="2DF971C6"/>
    <w:rsid w:val="2E0FF5CD"/>
    <w:rsid w:val="30336DD1"/>
    <w:rsid w:val="32EA6F01"/>
    <w:rsid w:val="334CEE08"/>
    <w:rsid w:val="35F1B7B7"/>
    <w:rsid w:val="360F91D3"/>
    <w:rsid w:val="36AC3487"/>
    <w:rsid w:val="37CC8B45"/>
    <w:rsid w:val="3A0816E7"/>
    <w:rsid w:val="3A0CF461"/>
    <w:rsid w:val="3B2E0CC9"/>
    <w:rsid w:val="3C07963A"/>
    <w:rsid w:val="3C9B8E6E"/>
    <w:rsid w:val="3D2055FB"/>
    <w:rsid w:val="4095A220"/>
    <w:rsid w:val="40F0FEFB"/>
    <w:rsid w:val="410113E8"/>
    <w:rsid w:val="414B0295"/>
    <w:rsid w:val="415D3659"/>
    <w:rsid w:val="424B1985"/>
    <w:rsid w:val="4586BA60"/>
    <w:rsid w:val="4765C5AB"/>
    <w:rsid w:val="482DE38C"/>
    <w:rsid w:val="492790F8"/>
    <w:rsid w:val="4A8E923D"/>
    <w:rsid w:val="4CEFEF3F"/>
    <w:rsid w:val="4F4F07C7"/>
    <w:rsid w:val="4F6897F4"/>
    <w:rsid w:val="4F6C4F21"/>
    <w:rsid w:val="505EF494"/>
    <w:rsid w:val="5064D61B"/>
    <w:rsid w:val="525BD06C"/>
    <w:rsid w:val="532027D5"/>
    <w:rsid w:val="53BD633D"/>
    <w:rsid w:val="55E515D1"/>
    <w:rsid w:val="57BFA69A"/>
    <w:rsid w:val="57FC1F84"/>
    <w:rsid w:val="58C4C24E"/>
    <w:rsid w:val="58EF25D1"/>
    <w:rsid w:val="5B0578EF"/>
    <w:rsid w:val="5B360341"/>
    <w:rsid w:val="5CFDBA20"/>
    <w:rsid w:val="5D475437"/>
    <w:rsid w:val="5E0CF7F4"/>
    <w:rsid w:val="5FF86B63"/>
    <w:rsid w:val="6063113C"/>
    <w:rsid w:val="606D3BD5"/>
    <w:rsid w:val="6143CEE4"/>
    <w:rsid w:val="61BEB1CE"/>
    <w:rsid w:val="622D0699"/>
    <w:rsid w:val="6256B775"/>
    <w:rsid w:val="635A55DA"/>
    <w:rsid w:val="63746B9C"/>
    <w:rsid w:val="655C4E6D"/>
    <w:rsid w:val="65812834"/>
    <w:rsid w:val="65EBA3CF"/>
    <w:rsid w:val="668D2285"/>
    <w:rsid w:val="673F4888"/>
    <w:rsid w:val="69DD215B"/>
    <w:rsid w:val="6B58382D"/>
    <w:rsid w:val="6C396A61"/>
    <w:rsid w:val="6CBA84AC"/>
    <w:rsid w:val="6D5AC4D0"/>
    <w:rsid w:val="6D829634"/>
    <w:rsid w:val="6DC05CAA"/>
    <w:rsid w:val="6DE2AACB"/>
    <w:rsid w:val="6E133500"/>
    <w:rsid w:val="6FA99528"/>
    <w:rsid w:val="702F0407"/>
    <w:rsid w:val="7267031C"/>
    <w:rsid w:val="731A6223"/>
    <w:rsid w:val="73930AD3"/>
    <w:rsid w:val="75916F16"/>
    <w:rsid w:val="75EAC758"/>
    <w:rsid w:val="77530E72"/>
    <w:rsid w:val="78901EC1"/>
    <w:rsid w:val="796CBD47"/>
    <w:rsid w:val="7A253AD5"/>
    <w:rsid w:val="7B332244"/>
    <w:rsid w:val="7B765195"/>
    <w:rsid w:val="7B927D10"/>
    <w:rsid w:val="7C147E63"/>
    <w:rsid w:val="7D28F5AE"/>
    <w:rsid w:val="7DAD5BEA"/>
    <w:rsid w:val="7DB5C1AD"/>
    <w:rsid w:val="7DCAA223"/>
    <w:rsid w:val="7E578EF6"/>
    <w:rsid w:val="7ECB7B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CA1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1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220F"/>
    <w:pPr>
      <w:spacing w:before="200" w:after="200"/>
    </w:pPr>
  </w:style>
  <w:style w:type="paragraph" w:styleId="Heading1">
    <w:name w:val="heading 1"/>
    <w:next w:val="Normal"/>
    <w:link w:val="Heading1Char"/>
    <w:uiPriority w:val="1"/>
    <w:qFormat/>
    <w:rsid w:val="00536963"/>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536963"/>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C52F15"/>
    <w:pPr>
      <w:keepNext/>
      <w:spacing w:before="240" w:after="120"/>
      <w:outlineLvl w:val="2"/>
    </w:pPr>
    <w:rPr>
      <w:rFonts w:asciiTheme="minorHAnsi" w:eastAsiaTheme="majorEastAsia" w:hAnsiTheme="minorHAnsi" w:cs="Arial"/>
      <w:b/>
      <w:color w:val="003865" w:themeColor="accent1"/>
      <w:sz w:val="26"/>
      <w:szCs w:val="26"/>
    </w:rPr>
  </w:style>
  <w:style w:type="paragraph" w:styleId="Heading4">
    <w:name w:val="heading 4"/>
    <w:next w:val="Normal"/>
    <w:link w:val="Heading4Char"/>
    <w:uiPriority w:val="1"/>
    <w:qFormat/>
    <w:rsid w:val="00536963"/>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6818A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6818A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1E5ECF"/>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1E5ECF"/>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1E5ECF"/>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36963"/>
    <w:rPr>
      <w:b/>
      <w:color w:val="003865"/>
      <w:sz w:val="40"/>
      <w:szCs w:val="40"/>
    </w:rPr>
  </w:style>
  <w:style w:type="character" w:customStyle="1" w:styleId="Heading2Char">
    <w:name w:val="Heading 2 Char"/>
    <w:basedOn w:val="DefaultParagraphFont"/>
    <w:link w:val="Heading2"/>
    <w:uiPriority w:val="1"/>
    <w:rsid w:val="00536963"/>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C52F15"/>
    <w:rPr>
      <w:rFonts w:asciiTheme="minorHAnsi" w:eastAsiaTheme="majorEastAsia" w:hAnsiTheme="minorHAnsi" w:cs="Arial"/>
      <w:b/>
      <w:color w:val="003865" w:themeColor="accent1"/>
      <w:sz w:val="26"/>
      <w:szCs w:val="26"/>
    </w:rPr>
  </w:style>
  <w:style w:type="character" w:customStyle="1" w:styleId="Heading4Char">
    <w:name w:val="Heading 4 Char"/>
    <w:basedOn w:val="DefaultParagraphFont"/>
    <w:link w:val="Heading4"/>
    <w:uiPriority w:val="1"/>
    <w:rsid w:val="00536963"/>
    <w:rPr>
      <w:rFonts w:eastAsiaTheme="majorEastAsia" w:cstheme="majorBidi"/>
      <w:i/>
      <w:sz w:val="24"/>
      <w:szCs w:val="24"/>
    </w:rPr>
  </w:style>
  <w:style w:type="character" w:customStyle="1" w:styleId="Heading5Char">
    <w:name w:val="Heading 5 Char"/>
    <w:basedOn w:val="DefaultParagraphFont"/>
    <w:link w:val="Heading5"/>
    <w:uiPriority w:val="1"/>
    <w:rsid w:val="006818A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6818A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8D5E3D"/>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8D5E3D"/>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8D5E3D"/>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asicParagraph">
    <w:name w:val="[Basic Paragraph]"/>
    <w:basedOn w:val="NoParagraphStyle"/>
    <w:uiPriority w:val="99"/>
    <w:semiHidden/>
    <w:rsid w:val="001E5ECF"/>
    <w:pPr>
      <w:spacing w:line="250" w:lineRule="atLeast"/>
    </w:pPr>
    <w:rPr>
      <w:rFonts w:ascii="Adobe Caslon Pro" w:hAnsi="Adobe Caslon Pro" w:cs="Adobe Caslon Pro"/>
      <w:sz w:val="22"/>
      <w:szCs w:val="22"/>
    </w:rPr>
  </w:style>
  <w:style w:type="character" w:styleId="Emphasis">
    <w:name w:val="Emphasis"/>
    <w:uiPriority w:val="2"/>
    <w:qFormat/>
    <w:rsid w:val="00536963"/>
    <w:rPr>
      <w:i/>
    </w:rPr>
  </w:style>
  <w:style w:type="character" w:styleId="FootnoteReference">
    <w:name w:val="footnote reference"/>
    <w:basedOn w:val="DefaultParagraphFont"/>
    <w:semiHidden/>
    <w:rsid w:val="001E5ECF"/>
    <w:rPr>
      <w:vertAlign w:val="superscript"/>
    </w:rPr>
  </w:style>
  <w:style w:type="paragraph" w:styleId="FootnoteText">
    <w:name w:val="footnote text"/>
    <w:basedOn w:val="Normal"/>
    <w:link w:val="FootnoteTextChar"/>
    <w:semiHidden/>
    <w:rsid w:val="001E5ECF"/>
    <w:pPr>
      <w:spacing w:before="0" w:line="240" w:lineRule="auto"/>
    </w:pPr>
  </w:style>
  <w:style w:type="character" w:customStyle="1" w:styleId="FootnoteTextChar">
    <w:name w:val="Footnote Text Char"/>
    <w:basedOn w:val="DefaultParagraphFont"/>
    <w:link w:val="FootnoteText"/>
    <w:semiHidden/>
    <w:rsid w:val="006C0E45"/>
    <w:rPr>
      <w:rFonts w:ascii="Arial" w:hAnsi="Arial"/>
      <w:sz w:val="20"/>
    </w:rPr>
  </w:style>
  <w:style w:type="character" w:styleId="Hyperlink">
    <w:name w:val="Hyperlink"/>
    <w:basedOn w:val="DefaultParagraphFont"/>
    <w:uiPriority w:val="99"/>
    <w:rsid w:val="001E5ECF"/>
    <w:rPr>
      <w:color w:val="0563C1" w:themeColor="hyperlink"/>
      <w:u w:val="single"/>
    </w:rPr>
  </w:style>
  <w:style w:type="character" w:styleId="IntenseEmphasis">
    <w:name w:val="Intense Emphasis"/>
    <w:basedOn w:val="DefaultParagraphFont"/>
    <w:uiPriority w:val="2"/>
    <w:qFormat/>
    <w:rsid w:val="00536963"/>
    <w:rPr>
      <w:b/>
      <w:i/>
      <w:iCs/>
      <w:color w:val="auto"/>
    </w:rPr>
  </w:style>
  <w:style w:type="paragraph" w:styleId="IntenseQuote">
    <w:name w:val="Intense Quote"/>
    <w:basedOn w:val="Normal"/>
    <w:next w:val="Normal"/>
    <w:link w:val="IntenseQuoteChar"/>
    <w:uiPriority w:val="30"/>
    <w:qFormat/>
    <w:rsid w:val="00777A0D"/>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777A0D"/>
    <w:rPr>
      <w:rFonts w:asciiTheme="minorHAnsi" w:hAnsiTheme="minorHAnsi"/>
      <w:i/>
      <w:iCs/>
      <w:color w:val="003865" w:themeColor="accent1"/>
      <w:sz w:val="26"/>
      <w:lang w:bidi="ar-SA"/>
    </w:rPr>
  </w:style>
  <w:style w:type="paragraph" w:styleId="ListNumber">
    <w:name w:val="List Number"/>
    <w:basedOn w:val="Normal"/>
    <w:semiHidden/>
    <w:rsid w:val="00471989"/>
    <w:pPr>
      <w:numPr>
        <w:numId w:val="1"/>
      </w:numPr>
    </w:pPr>
  </w:style>
  <w:style w:type="paragraph" w:styleId="Quote">
    <w:name w:val="Quote"/>
    <w:basedOn w:val="Normal"/>
    <w:next w:val="Normal"/>
    <w:link w:val="QuoteChar"/>
    <w:uiPriority w:val="29"/>
    <w:qFormat/>
    <w:rsid w:val="00536963"/>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536963"/>
    <w:rPr>
      <w:rFonts w:asciiTheme="minorHAnsi" w:hAnsiTheme="minorHAnsi"/>
      <w:i/>
      <w:iCs/>
      <w:lang w:bidi="ar-SA"/>
    </w:rPr>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521703"/>
    <w:pPr>
      <w:spacing w:line="240" w:lineRule="auto"/>
    </w:pPr>
    <w:rPr>
      <w:sz w:val="20"/>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Caption">
    <w:name w:val="caption"/>
    <w:basedOn w:val="Normal"/>
    <w:next w:val="Normal"/>
    <w:uiPriority w:val="12"/>
    <w:unhideWhenUsed/>
    <w:qFormat/>
    <w:rsid w:val="004F2ECB"/>
    <w:pPr>
      <w:spacing w:after="400" w:line="240" w:lineRule="auto"/>
    </w:pPr>
    <w:rPr>
      <w:iCs/>
      <w:color w:val="000000" w:themeColor="text2"/>
      <w:sz w:val="20"/>
      <w:szCs w:val="20"/>
    </w:rPr>
  </w:style>
  <w:style w:type="paragraph" w:styleId="TOCHeading">
    <w:name w:val="TOC Heading"/>
    <w:next w:val="Normal"/>
    <w:uiPriority w:val="39"/>
    <w:semiHidden/>
    <w:unhideWhenUsed/>
    <w:qFormat/>
    <w:rsid w:val="001E5ECF"/>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Footer">
    <w:name w:val="footer"/>
    <w:link w:val="FooterChar"/>
    <w:uiPriority w:val="99"/>
    <w:qFormat/>
    <w:rsid w:val="00536963"/>
    <w:pPr>
      <w:tabs>
        <w:tab w:val="right" w:pos="10080"/>
      </w:tabs>
      <w:spacing w:before="0" w:line="336" w:lineRule="auto"/>
    </w:pPr>
  </w:style>
  <w:style w:type="character" w:customStyle="1" w:styleId="FooterChar">
    <w:name w:val="Footer Char"/>
    <w:basedOn w:val="DefaultParagraphFont"/>
    <w:link w:val="Footer"/>
    <w:uiPriority w:val="99"/>
    <w:rsid w:val="00536963"/>
  </w:style>
  <w:style w:type="paragraph" w:customStyle="1" w:styleId="Boldcharacter">
    <w:name w:val="Bold character"/>
    <w:basedOn w:val="Normal"/>
    <w:link w:val="BoldcharacterChar"/>
    <w:autoRedefine/>
    <w:semiHidden/>
    <w:qFormat/>
    <w:rsid w:val="002F1947"/>
    <w:pPr>
      <w:spacing w:line="280" w:lineRule="exact"/>
      <w:contextualSpacing/>
    </w:pPr>
    <w:rPr>
      <w:b/>
      <w:lang w:val="en-GB"/>
    </w:rPr>
  </w:style>
  <w:style w:type="character" w:customStyle="1" w:styleId="BoldcharacterChar">
    <w:name w:val="Bold character Char"/>
    <w:basedOn w:val="DefaultParagraphFont"/>
    <w:link w:val="Boldcharacter"/>
    <w:semiHidden/>
    <w:rsid w:val="002F1947"/>
    <w:rPr>
      <w:b/>
      <w:sz w:val="22"/>
      <w:szCs w:val="22"/>
      <w:lang w:val="en-GB"/>
    </w:rPr>
  </w:style>
  <w:style w:type="paragraph" w:customStyle="1" w:styleId="BodytextClosingname">
    <w:name w:val="Body text Closing name"/>
    <w:basedOn w:val="Normal"/>
    <w:semiHidden/>
    <w:qFormat/>
    <w:rsid w:val="002F1947"/>
    <w:pPr>
      <w:spacing w:before="1080" w:after="240"/>
      <w:contextualSpacing/>
    </w:pPr>
  </w:style>
  <w:style w:type="paragraph" w:customStyle="1" w:styleId="BodytextDate">
    <w:name w:val="Body text Date"/>
    <w:basedOn w:val="Normal"/>
    <w:semiHidden/>
    <w:qFormat/>
    <w:rsid w:val="002F1947"/>
    <w:pPr>
      <w:spacing w:before="0" w:after="480"/>
      <w:contextualSpacing/>
    </w:pPr>
  </w:style>
  <w:style w:type="paragraph" w:customStyle="1" w:styleId="BodytextSalutation">
    <w:name w:val="Body text Salutation"/>
    <w:basedOn w:val="Normal"/>
    <w:semiHidden/>
    <w:qFormat/>
    <w:rsid w:val="002F1947"/>
    <w:pPr>
      <w:spacing w:before="480" w:after="240"/>
      <w:contextualSpacing/>
    </w:pPr>
  </w:style>
  <w:style w:type="paragraph" w:styleId="Closing">
    <w:name w:val="Closing"/>
    <w:basedOn w:val="Normal"/>
    <w:link w:val="ClosingChar"/>
    <w:semiHidden/>
    <w:qFormat/>
    <w:rsid w:val="002F1947"/>
    <w:pPr>
      <w:spacing w:before="240"/>
    </w:pPr>
  </w:style>
  <w:style w:type="character" w:customStyle="1" w:styleId="ClosingChar">
    <w:name w:val="Closing Char"/>
    <w:basedOn w:val="DefaultParagraphFont"/>
    <w:link w:val="Closing"/>
    <w:semiHidden/>
    <w:rsid w:val="002F1947"/>
    <w:rPr>
      <w:sz w:val="22"/>
    </w:rPr>
  </w:style>
  <w:style w:type="paragraph" w:styleId="BodyText3">
    <w:name w:val="Body Text 3"/>
    <w:link w:val="BodyText3Char"/>
    <w:semiHidden/>
    <w:qFormat/>
    <w:rsid w:val="002F1947"/>
    <w:pPr>
      <w:widowControl w:val="0"/>
    </w:pPr>
    <w:rPr>
      <w:sz w:val="16"/>
      <w:szCs w:val="16"/>
    </w:rPr>
  </w:style>
  <w:style w:type="character" w:customStyle="1" w:styleId="BodyText3Char">
    <w:name w:val="Body Text 3 Char"/>
    <w:basedOn w:val="DefaultParagraphFont"/>
    <w:link w:val="BodyText3"/>
    <w:semiHidden/>
    <w:rsid w:val="002F1947"/>
    <w:rPr>
      <w:sz w:val="16"/>
      <w:szCs w:val="16"/>
    </w:rPr>
  </w:style>
  <w:style w:type="paragraph" w:styleId="BalloonText">
    <w:name w:val="Balloon Text"/>
    <w:basedOn w:val="Normal"/>
    <w:link w:val="BalloonTextChar"/>
    <w:semiHidden/>
    <w:rsid w:val="000F4BB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F4BB1"/>
    <w:rPr>
      <w:rFonts w:ascii="Tahoma" w:hAnsi="Tahoma" w:cs="Tahoma"/>
      <w:sz w:val="16"/>
      <w:szCs w:val="16"/>
    </w:rPr>
  </w:style>
  <w:style w:type="character" w:styleId="PlaceholderText">
    <w:name w:val="Placeholder Text"/>
    <w:basedOn w:val="DefaultParagraphFont"/>
    <w:uiPriority w:val="99"/>
    <w:semiHidden/>
    <w:rsid w:val="00E76267"/>
    <w:rPr>
      <w:color w:val="808080"/>
    </w:rPr>
  </w:style>
  <w:style w:type="paragraph" w:styleId="NormalWeb">
    <w:name w:val="Normal (Web)"/>
    <w:basedOn w:val="Normal"/>
    <w:uiPriority w:val="99"/>
    <w:semiHidden/>
    <w:unhideWhenUsed/>
    <w:rsid w:val="00963BA0"/>
    <w:pPr>
      <w:spacing w:before="100" w:beforeAutospacing="1" w:after="100" w:afterAutospacing="1" w:line="240" w:lineRule="auto"/>
    </w:pPr>
    <w:rPr>
      <w:rFonts w:ascii="Times New Roman" w:hAnsi="Times New Roman"/>
      <w:sz w:val="24"/>
      <w:szCs w:val="24"/>
      <w:lang w:bidi="ar-SA"/>
    </w:rPr>
  </w:style>
  <w:style w:type="paragraph" w:styleId="ListParagraph">
    <w:name w:val="List Paragraph"/>
    <w:basedOn w:val="Normal"/>
    <w:qFormat/>
    <w:rsid w:val="00536963"/>
    <w:pPr>
      <w:numPr>
        <w:numId w:val="2"/>
      </w:numPr>
      <w:contextualSpacing/>
    </w:pPr>
  </w:style>
  <w:style w:type="table" w:styleId="PlainTable1">
    <w:name w:val="Plain Table 1"/>
    <w:aliases w:val="Light Gray Table"/>
    <w:basedOn w:val="TableNormal"/>
    <w:uiPriority w:val="41"/>
    <w:rsid w:val="001C55E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0B6357"/>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0B6357"/>
  </w:style>
  <w:style w:type="character" w:styleId="CommentReference">
    <w:name w:val="annotation reference"/>
    <w:basedOn w:val="DefaultParagraphFont"/>
    <w:uiPriority w:val="99"/>
    <w:semiHidden/>
    <w:unhideWhenUsed/>
    <w:rsid w:val="00611034"/>
    <w:rPr>
      <w:sz w:val="16"/>
      <w:szCs w:val="16"/>
    </w:rPr>
  </w:style>
  <w:style w:type="paragraph" w:styleId="CommentText">
    <w:name w:val="annotation text"/>
    <w:basedOn w:val="Normal"/>
    <w:link w:val="CommentTextChar"/>
    <w:unhideWhenUsed/>
    <w:rsid w:val="00611034"/>
    <w:pPr>
      <w:spacing w:before="0" w:after="160" w:line="240" w:lineRule="auto"/>
    </w:pPr>
    <w:rPr>
      <w:rFonts w:asciiTheme="minorHAnsi" w:eastAsiaTheme="minorEastAsia" w:hAnsiTheme="minorHAnsi" w:cstheme="minorBidi"/>
      <w:sz w:val="20"/>
      <w:szCs w:val="20"/>
      <w:lang w:bidi="ar-SA"/>
    </w:rPr>
  </w:style>
  <w:style w:type="character" w:customStyle="1" w:styleId="CommentTextChar">
    <w:name w:val="Comment Text Char"/>
    <w:basedOn w:val="DefaultParagraphFont"/>
    <w:link w:val="CommentText"/>
    <w:rsid w:val="00611034"/>
    <w:rPr>
      <w:rFonts w:asciiTheme="minorHAnsi" w:eastAsiaTheme="minorEastAsia" w:hAnsiTheme="minorHAnsi" w:cstheme="minorBidi"/>
      <w:sz w:val="20"/>
      <w:szCs w:val="20"/>
      <w:lang w:bidi="ar-SA"/>
    </w:rPr>
  </w:style>
  <w:style w:type="paragraph" w:styleId="NoSpacing">
    <w:name w:val="No Spacing"/>
    <w:uiPriority w:val="1"/>
    <w:qFormat/>
    <w:rsid w:val="000C0A0A"/>
    <w:pPr>
      <w:spacing w:before="0" w:line="240" w:lineRule="auto"/>
    </w:pPr>
    <w:rPr>
      <w:rFonts w:asciiTheme="minorHAnsi" w:eastAsiaTheme="minorEastAsia" w:hAnsiTheme="minorHAnsi" w:cstheme="minorBidi"/>
      <w:lang w:bidi="ar-SA"/>
    </w:rPr>
  </w:style>
  <w:style w:type="character" w:customStyle="1" w:styleId="normaltextrun">
    <w:name w:val="normaltextrun"/>
    <w:basedOn w:val="DefaultParagraphFont"/>
    <w:rsid w:val="000C0A0A"/>
  </w:style>
  <w:style w:type="paragraph" w:customStyle="1" w:styleId="Default">
    <w:name w:val="Default"/>
    <w:rsid w:val="00382B63"/>
    <w:pPr>
      <w:autoSpaceDE w:val="0"/>
      <w:autoSpaceDN w:val="0"/>
      <w:adjustRightInd w:val="0"/>
      <w:spacing w:before="0" w:line="240" w:lineRule="auto"/>
    </w:pPr>
    <w:rPr>
      <w:rFonts w:ascii="Times New Roman" w:eastAsiaTheme="minorEastAsia" w:hAnsi="Times New Roman"/>
      <w:color w:val="000000"/>
      <w:sz w:val="24"/>
      <w:szCs w:val="24"/>
      <w:lang w:bidi="ar-SA"/>
    </w:rPr>
  </w:style>
  <w:style w:type="character" w:styleId="UnresolvedMention">
    <w:name w:val="Unresolved Mention"/>
    <w:basedOn w:val="DefaultParagraphFont"/>
    <w:uiPriority w:val="99"/>
    <w:semiHidden/>
    <w:unhideWhenUsed/>
    <w:rsid w:val="00796D1E"/>
    <w:rPr>
      <w:color w:val="605E5C"/>
      <w:shd w:val="clear" w:color="auto" w:fill="E1DFDD"/>
    </w:rPr>
  </w:style>
  <w:style w:type="paragraph" w:styleId="Revision">
    <w:name w:val="Revision"/>
    <w:hidden/>
    <w:uiPriority w:val="99"/>
    <w:semiHidden/>
    <w:rsid w:val="00000001"/>
    <w:pPr>
      <w:spacing w:before="0" w:line="240" w:lineRule="auto"/>
    </w:pPr>
  </w:style>
  <w:style w:type="character" w:customStyle="1" w:styleId="eop">
    <w:name w:val="eop"/>
    <w:basedOn w:val="DefaultParagraphFont"/>
    <w:rsid w:val="00975553"/>
  </w:style>
  <w:style w:type="paragraph" w:styleId="CommentSubject">
    <w:name w:val="annotation subject"/>
    <w:basedOn w:val="CommentText"/>
    <w:next w:val="CommentText"/>
    <w:link w:val="CommentSubjectChar"/>
    <w:semiHidden/>
    <w:unhideWhenUsed/>
    <w:rsid w:val="00857921"/>
    <w:pPr>
      <w:spacing w:before="200" w:after="200"/>
    </w:pPr>
    <w:rPr>
      <w:rFonts w:ascii="Calibri" w:eastAsia="Times New Roman" w:hAnsi="Calibri" w:cs="Times New Roman"/>
      <w:b/>
      <w:bCs/>
      <w:lang w:bidi="en-US"/>
    </w:rPr>
  </w:style>
  <w:style w:type="character" w:customStyle="1" w:styleId="CommentSubjectChar">
    <w:name w:val="Comment Subject Char"/>
    <w:basedOn w:val="CommentTextChar"/>
    <w:link w:val="CommentSubject"/>
    <w:semiHidden/>
    <w:rsid w:val="00857921"/>
    <w:rPr>
      <w:rFonts w:asciiTheme="minorHAnsi" w:eastAsiaTheme="minorEastAsia" w:hAnsiTheme="minorHAnsi" w:cstheme="minorBidi"/>
      <w:b/>
      <w:bCs/>
      <w:sz w:val="20"/>
      <w:szCs w:val="20"/>
      <w:lang w:bidi="ar-SA"/>
    </w:rPr>
  </w:style>
  <w:style w:type="character" w:styleId="FollowedHyperlink">
    <w:name w:val="FollowedHyperlink"/>
    <w:basedOn w:val="DefaultParagraphFont"/>
    <w:semiHidden/>
    <w:unhideWhenUsed/>
    <w:rsid w:val="005A3AAB"/>
    <w:rPr>
      <w:color w:val="5D295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revisor.mn.gov/statutes/?id=16B.97" TargetMode="External"/><Relationship Id="rId18" Type="http://schemas.openxmlformats.org/officeDocument/2006/relationships/hyperlink" Target="https://www.revisor.mn.gov/laws/2023/0/Session+Law/Chapter/62/" TargetMode="External"/><Relationship Id="rId26" Type="http://schemas.openxmlformats.org/officeDocument/2006/relationships/hyperlink" Target="https://www.revisor.mn.gov/statutes/?id=16B.98" TargetMode="External"/><Relationship Id="rId39" Type="http://schemas.openxmlformats.org/officeDocument/2006/relationships/header" Target="header1.xml"/><Relationship Id="rId21" Type="http://schemas.openxmlformats.org/officeDocument/2006/relationships/hyperlink" Target="https://mnucp.metc.state.mn.us/" TargetMode="External"/><Relationship Id="rId34" Type="http://schemas.openxmlformats.org/officeDocument/2006/relationships/hyperlink" Target="mailto:eric.p.olberding@state.mn.us"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revisor.mn.gov/laws/2023/0/Session+Law/Chapter/62/" TargetMode="External"/><Relationship Id="rId20" Type="http://schemas.openxmlformats.org/officeDocument/2006/relationships/hyperlink" Target="https://mn.gov/admin/osp/government/procuregoodsandgeneralservices/tgedvo-directory/" TargetMode="External"/><Relationship Id="rId29" Type="http://schemas.openxmlformats.org/officeDocument/2006/relationships/hyperlink" Target="https://www.revisor.mn.gov/statutes/?id=13.37"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li.mn.gov/newparents" TargetMode="External"/><Relationship Id="rId24" Type="http://schemas.openxmlformats.org/officeDocument/2006/relationships/hyperlink" Target="https://www.revisor.leg.state.mn.us/statutes/?id=177.41" TargetMode="External"/><Relationship Id="rId32" Type="http://schemas.openxmlformats.org/officeDocument/2006/relationships/hyperlink" Target="https://www.revisor.mn.gov/rules/?id=5000.3500" TargetMode="External"/><Relationship Id="rId37" Type="http://schemas.openxmlformats.org/officeDocument/2006/relationships/hyperlink" Target="https://www.dli.mn.gov/business/employment-practices/womens-economic-security-act-wesa-engagement-and-education-grant"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mn.gov/admin/assets/08-08%20Policy%20on%20Grant%20Payments%20FY21%20_tcm36-438962.pdf" TargetMode="External"/><Relationship Id="rId23" Type="http://schemas.openxmlformats.org/officeDocument/2006/relationships/hyperlink" Target="https://mn.gov/admin/osp/government/suspended-debarred/" TargetMode="External"/><Relationship Id="rId28" Type="http://schemas.openxmlformats.org/officeDocument/2006/relationships/hyperlink" Target="https://www.revisor.mn.gov/statutes/?id=13.599" TargetMode="External"/><Relationship Id="rId36" Type="http://schemas.openxmlformats.org/officeDocument/2006/relationships/hyperlink" Target="http://www.dli.mn.gov/business/employment-practices/womens-economic-security-act-wesa-engagement-and-education-grant" TargetMode="External"/><Relationship Id="rId10" Type="http://schemas.openxmlformats.org/officeDocument/2006/relationships/hyperlink" Target="mailto:eric.p.olberding@state.mn.us" TargetMode="External"/><Relationship Id="rId19" Type="http://schemas.openxmlformats.org/officeDocument/2006/relationships/hyperlink" Target="https://www.revisor.mn.gov/statutes/?id=16B.98" TargetMode="External"/><Relationship Id="rId31" Type="http://schemas.openxmlformats.org/officeDocument/2006/relationships/hyperlink" Target="https://www.revisor.mn.gov/statutes/?id=363A.02" TargetMode="External"/><Relationship Id="rId4" Type="http://schemas.openxmlformats.org/officeDocument/2006/relationships/settings" Target="settings.xml"/><Relationship Id="rId9" Type="http://schemas.openxmlformats.org/officeDocument/2006/relationships/hyperlink" Target="https://www.dli.mn.gov/business/employment-practices/womens-economic-security-act-wesa-engagement-and-education-grant" TargetMode="External"/><Relationship Id="rId14" Type="http://schemas.openxmlformats.org/officeDocument/2006/relationships/hyperlink" Target="https://mn.gov/admin/assets/grants_policy_08-10_tcm36-207117.pdf" TargetMode="External"/><Relationship Id="rId22" Type="http://schemas.openxmlformats.org/officeDocument/2006/relationships/hyperlink" Target="https://www.stpaul.gov/departments/human-rights-equal-economic-opportunity/contract-compliance-business-development/central" TargetMode="External"/><Relationship Id="rId27" Type="http://schemas.openxmlformats.org/officeDocument/2006/relationships/hyperlink" Target="https://mn.gov/admin/assets/OGM%20Policy%2008-01%20Conflict%20of%20Interest%20in%20State%20Grant-Making%2001.01.2022_tcm36-515734.docx" TargetMode="External"/><Relationship Id="rId30" Type="http://schemas.openxmlformats.org/officeDocument/2006/relationships/hyperlink" Target="https://www.revisor.mn.gov/statutes/?id=13.37" TargetMode="External"/><Relationship Id="rId35" Type="http://schemas.openxmlformats.org/officeDocument/2006/relationships/hyperlink" Target="mailto:eric.p.olberding@state.mn.us" TargetMode="External"/><Relationship Id="rId8" Type="http://schemas.openxmlformats.org/officeDocument/2006/relationships/hyperlink" Target="mailto:eric.p.olberding@state.mn.us" TargetMode="External"/><Relationship Id="rId3" Type="http://schemas.openxmlformats.org/officeDocument/2006/relationships/styles" Target="styles.xml"/><Relationship Id="rId12" Type="http://schemas.openxmlformats.org/officeDocument/2006/relationships/hyperlink" Target="https://mn.gov/deed/programs-services/paid-family/" TargetMode="External"/><Relationship Id="rId17" Type="http://schemas.openxmlformats.org/officeDocument/2006/relationships/hyperlink" Target="https://www.revisor.mn.gov/statutes/cite/309.53" TargetMode="External"/><Relationship Id="rId25" Type="http://schemas.openxmlformats.org/officeDocument/2006/relationships/hyperlink" Target="https://www.revisor.leg.state.mn.us/statutes/?id=177.44" TargetMode="External"/><Relationship Id="rId33" Type="http://schemas.openxmlformats.org/officeDocument/2006/relationships/hyperlink" Target="https://www.revisor.mn.gov/statutes/?id=201.162" TargetMode="External"/><Relationship Id="rId3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97F34-59E0-486F-B62B-7CEF8A4A48BA}">
  <ds:schemaRefs>
    <ds:schemaRef ds:uri="http://schemas.openxmlformats.org/officeDocument/2006/bibliography"/>
  </ds:schemaRefs>
</ds:datastoreItem>
</file>

<file path=docMetadata/LabelInfo.xml><?xml version="1.0" encoding="utf-8"?>
<clbl:labelList xmlns:clbl="http://schemas.microsoft.com/office/2020/mipLabelMetadata">
  <clbl:label id="{eb14b046-24c4-4519-8f26-b89c2159828c}" enabled="0" method="" siteId="{eb14b046-24c4-4519-8f26-b89c2159828c}"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1</Pages>
  <Words>3996</Words>
  <Characters>22780</Characters>
  <Application>Microsoft Office Word</Application>
  <DocSecurity>4</DocSecurity>
  <Lines>189</Lines>
  <Paragraphs>53</Paragraphs>
  <ScaleCrop>false</ScaleCrop>
  <Manager/>
  <Company/>
  <LinksUpToDate>false</LinksUpToDate>
  <CharactersWithSpaces>26723</CharactersWithSpaces>
  <SharedDoc>false</SharedDoc>
  <HLinks>
    <vt:vector size="180" baseType="variant">
      <vt:variant>
        <vt:i4>4456520</vt:i4>
      </vt:variant>
      <vt:variant>
        <vt:i4>87</vt:i4>
      </vt:variant>
      <vt:variant>
        <vt:i4>0</vt:i4>
      </vt:variant>
      <vt:variant>
        <vt:i4>5</vt:i4>
      </vt:variant>
      <vt:variant>
        <vt:lpwstr>https://www.dli.mn.gov/business/employment-practices/womens-economic-security-act-wesa-engagement-and-education-grant</vt:lpwstr>
      </vt:variant>
      <vt:variant>
        <vt:lpwstr/>
      </vt:variant>
      <vt:variant>
        <vt:i4>5701724</vt:i4>
      </vt:variant>
      <vt:variant>
        <vt:i4>84</vt:i4>
      </vt:variant>
      <vt:variant>
        <vt:i4>0</vt:i4>
      </vt:variant>
      <vt:variant>
        <vt:i4>5</vt:i4>
      </vt:variant>
      <vt:variant>
        <vt:lpwstr>http://www.dli.mn.gov/business/employment-practices/womens-economic-security-act-wesa-engagement-and-education-grant</vt:lpwstr>
      </vt:variant>
      <vt:variant>
        <vt:lpwstr/>
      </vt:variant>
      <vt:variant>
        <vt:i4>1572974</vt:i4>
      </vt:variant>
      <vt:variant>
        <vt:i4>81</vt:i4>
      </vt:variant>
      <vt:variant>
        <vt:i4>0</vt:i4>
      </vt:variant>
      <vt:variant>
        <vt:i4>5</vt:i4>
      </vt:variant>
      <vt:variant>
        <vt:lpwstr>mailto:eric.p.olberding@state.mn.us</vt:lpwstr>
      </vt:variant>
      <vt:variant>
        <vt:lpwstr/>
      </vt:variant>
      <vt:variant>
        <vt:i4>1572974</vt:i4>
      </vt:variant>
      <vt:variant>
        <vt:i4>78</vt:i4>
      </vt:variant>
      <vt:variant>
        <vt:i4>0</vt:i4>
      </vt:variant>
      <vt:variant>
        <vt:i4>5</vt:i4>
      </vt:variant>
      <vt:variant>
        <vt:lpwstr>mailto:eric.p.olberding@state.mn.us</vt:lpwstr>
      </vt:variant>
      <vt:variant>
        <vt:lpwstr/>
      </vt:variant>
      <vt:variant>
        <vt:i4>2818088</vt:i4>
      </vt:variant>
      <vt:variant>
        <vt:i4>75</vt:i4>
      </vt:variant>
      <vt:variant>
        <vt:i4>0</vt:i4>
      </vt:variant>
      <vt:variant>
        <vt:i4>5</vt:i4>
      </vt:variant>
      <vt:variant>
        <vt:lpwstr>https://www.revisor.mn.gov/statutes/?id=201.162</vt:lpwstr>
      </vt:variant>
      <vt:variant>
        <vt:lpwstr/>
      </vt:variant>
      <vt:variant>
        <vt:i4>6422574</vt:i4>
      </vt:variant>
      <vt:variant>
        <vt:i4>72</vt:i4>
      </vt:variant>
      <vt:variant>
        <vt:i4>0</vt:i4>
      </vt:variant>
      <vt:variant>
        <vt:i4>5</vt:i4>
      </vt:variant>
      <vt:variant>
        <vt:lpwstr>https://www.revisor.mn.gov/rules/?id=5000.3500</vt:lpwstr>
      </vt:variant>
      <vt:variant>
        <vt:lpwstr/>
      </vt:variant>
      <vt:variant>
        <vt:i4>6553652</vt:i4>
      </vt:variant>
      <vt:variant>
        <vt:i4>69</vt:i4>
      </vt:variant>
      <vt:variant>
        <vt:i4>0</vt:i4>
      </vt:variant>
      <vt:variant>
        <vt:i4>5</vt:i4>
      </vt:variant>
      <vt:variant>
        <vt:lpwstr>https://www.revisor.mn.gov/statutes/?id=363A.02</vt:lpwstr>
      </vt:variant>
      <vt:variant>
        <vt:lpwstr/>
      </vt:variant>
      <vt:variant>
        <vt:i4>196613</vt:i4>
      </vt:variant>
      <vt:variant>
        <vt:i4>66</vt:i4>
      </vt:variant>
      <vt:variant>
        <vt:i4>0</vt:i4>
      </vt:variant>
      <vt:variant>
        <vt:i4>5</vt:i4>
      </vt:variant>
      <vt:variant>
        <vt:lpwstr>https://www.revisor.mn.gov/statutes/?id=13.37</vt:lpwstr>
      </vt:variant>
      <vt:variant>
        <vt:lpwstr/>
      </vt:variant>
      <vt:variant>
        <vt:i4>196613</vt:i4>
      </vt:variant>
      <vt:variant>
        <vt:i4>63</vt:i4>
      </vt:variant>
      <vt:variant>
        <vt:i4>0</vt:i4>
      </vt:variant>
      <vt:variant>
        <vt:i4>5</vt:i4>
      </vt:variant>
      <vt:variant>
        <vt:lpwstr>https://www.revisor.mn.gov/statutes/?id=13.37</vt:lpwstr>
      </vt:variant>
      <vt:variant>
        <vt:lpwstr/>
      </vt:variant>
      <vt:variant>
        <vt:i4>3932220</vt:i4>
      </vt:variant>
      <vt:variant>
        <vt:i4>60</vt:i4>
      </vt:variant>
      <vt:variant>
        <vt:i4>0</vt:i4>
      </vt:variant>
      <vt:variant>
        <vt:i4>5</vt:i4>
      </vt:variant>
      <vt:variant>
        <vt:lpwstr>https://www.revisor.mn.gov/statutes/?id=13.599</vt:lpwstr>
      </vt:variant>
      <vt:variant>
        <vt:lpwstr/>
      </vt:variant>
      <vt:variant>
        <vt:i4>131135</vt:i4>
      </vt:variant>
      <vt:variant>
        <vt:i4>57</vt:i4>
      </vt:variant>
      <vt:variant>
        <vt:i4>0</vt:i4>
      </vt:variant>
      <vt:variant>
        <vt:i4>5</vt:i4>
      </vt:variant>
      <vt:variant>
        <vt:lpwstr>https://mn.gov/admin/assets/OGM Policy 08-01 Conflict of Interest in State Grant-Making 01.01.2022_tcm36-515734.docx</vt:lpwstr>
      </vt:variant>
      <vt:variant>
        <vt:lpwstr/>
      </vt:variant>
      <vt:variant>
        <vt:i4>2293872</vt:i4>
      </vt:variant>
      <vt:variant>
        <vt:i4>54</vt:i4>
      </vt:variant>
      <vt:variant>
        <vt:i4>0</vt:i4>
      </vt:variant>
      <vt:variant>
        <vt:i4>5</vt:i4>
      </vt:variant>
      <vt:variant>
        <vt:lpwstr>https://www.revisor.mn.gov/statutes/?id=16B.98</vt:lpwstr>
      </vt:variant>
      <vt:variant>
        <vt:lpwstr/>
      </vt:variant>
      <vt:variant>
        <vt:i4>3801193</vt:i4>
      </vt:variant>
      <vt:variant>
        <vt:i4>51</vt:i4>
      </vt:variant>
      <vt:variant>
        <vt:i4>0</vt:i4>
      </vt:variant>
      <vt:variant>
        <vt:i4>5</vt:i4>
      </vt:variant>
      <vt:variant>
        <vt:lpwstr>https://www.revisor.leg.state.mn.us/statutes/?id=177.44</vt:lpwstr>
      </vt:variant>
      <vt:variant>
        <vt:lpwstr/>
      </vt:variant>
      <vt:variant>
        <vt:i4>3801193</vt:i4>
      </vt:variant>
      <vt:variant>
        <vt:i4>48</vt:i4>
      </vt:variant>
      <vt:variant>
        <vt:i4>0</vt:i4>
      </vt:variant>
      <vt:variant>
        <vt:i4>5</vt:i4>
      </vt:variant>
      <vt:variant>
        <vt:lpwstr>https://www.revisor.leg.state.mn.us/statutes/?id=177.41</vt:lpwstr>
      </vt:variant>
      <vt:variant>
        <vt:lpwstr/>
      </vt:variant>
      <vt:variant>
        <vt:i4>7143484</vt:i4>
      </vt:variant>
      <vt:variant>
        <vt:i4>45</vt:i4>
      </vt:variant>
      <vt:variant>
        <vt:i4>0</vt:i4>
      </vt:variant>
      <vt:variant>
        <vt:i4>5</vt:i4>
      </vt:variant>
      <vt:variant>
        <vt:lpwstr>https://mn.gov/admin/osp/government/suspended-debarred/</vt:lpwstr>
      </vt:variant>
      <vt:variant>
        <vt:lpwstr/>
      </vt:variant>
      <vt:variant>
        <vt:i4>7929975</vt:i4>
      </vt:variant>
      <vt:variant>
        <vt:i4>42</vt:i4>
      </vt:variant>
      <vt:variant>
        <vt:i4>0</vt:i4>
      </vt:variant>
      <vt:variant>
        <vt:i4>5</vt:i4>
      </vt:variant>
      <vt:variant>
        <vt:lpwstr>https://www.stpaul.gov/departments/human-rights-equal-economic-opportunity/contract-compliance-business-development/central</vt:lpwstr>
      </vt:variant>
      <vt:variant>
        <vt:lpwstr/>
      </vt:variant>
      <vt:variant>
        <vt:i4>7536682</vt:i4>
      </vt:variant>
      <vt:variant>
        <vt:i4>39</vt:i4>
      </vt:variant>
      <vt:variant>
        <vt:i4>0</vt:i4>
      </vt:variant>
      <vt:variant>
        <vt:i4>5</vt:i4>
      </vt:variant>
      <vt:variant>
        <vt:lpwstr>https://mnucp.metc.state.mn.us/</vt:lpwstr>
      </vt:variant>
      <vt:variant>
        <vt:lpwstr/>
      </vt:variant>
      <vt:variant>
        <vt:i4>5308421</vt:i4>
      </vt:variant>
      <vt:variant>
        <vt:i4>36</vt:i4>
      </vt:variant>
      <vt:variant>
        <vt:i4>0</vt:i4>
      </vt:variant>
      <vt:variant>
        <vt:i4>5</vt:i4>
      </vt:variant>
      <vt:variant>
        <vt:lpwstr>https://mn.gov/admin/osp/government/procuregoodsandgeneralservices/tgedvo-directory/</vt:lpwstr>
      </vt:variant>
      <vt:variant>
        <vt:lpwstr/>
      </vt:variant>
      <vt:variant>
        <vt:i4>2293872</vt:i4>
      </vt:variant>
      <vt:variant>
        <vt:i4>33</vt:i4>
      </vt:variant>
      <vt:variant>
        <vt:i4>0</vt:i4>
      </vt:variant>
      <vt:variant>
        <vt:i4>5</vt:i4>
      </vt:variant>
      <vt:variant>
        <vt:lpwstr>https://www.revisor.mn.gov/statutes/?id=16B.98</vt:lpwstr>
      </vt:variant>
      <vt:variant>
        <vt:lpwstr/>
      </vt:variant>
      <vt:variant>
        <vt:i4>8126504</vt:i4>
      </vt:variant>
      <vt:variant>
        <vt:i4>30</vt:i4>
      </vt:variant>
      <vt:variant>
        <vt:i4>0</vt:i4>
      </vt:variant>
      <vt:variant>
        <vt:i4>5</vt:i4>
      </vt:variant>
      <vt:variant>
        <vt:lpwstr>https://www.revisor.mn.gov/laws/2023/0/Session+Law/Chapter/62/</vt:lpwstr>
      </vt:variant>
      <vt:variant>
        <vt:lpwstr/>
      </vt:variant>
      <vt:variant>
        <vt:i4>6553703</vt:i4>
      </vt:variant>
      <vt:variant>
        <vt:i4>27</vt:i4>
      </vt:variant>
      <vt:variant>
        <vt:i4>0</vt:i4>
      </vt:variant>
      <vt:variant>
        <vt:i4>5</vt:i4>
      </vt:variant>
      <vt:variant>
        <vt:lpwstr>https://www.revisor.mn.gov/statutes/cite/309.53</vt:lpwstr>
      </vt:variant>
      <vt:variant>
        <vt:lpwstr/>
      </vt:variant>
      <vt:variant>
        <vt:i4>8126504</vt:i4>
      </vt:variant>
      <vt:variant>
        <vt:i4>24</vt:i4>
      </vt:variant>
      <vt:variant>
        <vt:i4>0</vt:i4>
      </vt:variant>
      <vt:variant>
        <vt:i4>5</vt:i4>
      </vt:variant>
      <vt:variant>
        <vt:lpwstr>https://www.revisor.mn.gov/laws/2023/0/Session+Law/Chapter/62/</vt:lpwstr>
      </vt:variant>
      <vt:variant>
        <vt:lpwstr/>
      </vt:variant>
      <vt:variant>
        <vt:i4>5963896</vt:i4>
      </vt:variant>
      <vt:variant>
        <vt:i4>21</vt:i4>
      </vt:variant>
      <vt:variant>
        <vt:i4>0</vt:i4>
      </vt:variant>
      <vt:variant>
        <vt:i4>5</vt:i4>
      </vt:variant>
      <vt:variant>
        <vt:lpwstr>https://mn.gov/admin/assets/08-08 Policy on Grant Payments FY21 _tcm36-438962.pdf</vt:lpwstr>
      </vt:variant>
      <vt:variant>
        <vt:lpwstr/>
      </vt:variant>
      <vt:variant>
        <vt:i4>65578</vt:i4>
      </vt:variant>
      <vt:variant>
        <vt:i4>18</vt:i4>
      </vt:variant>
      <vt:variant>
        <vt:i4>0</vt:i4>
      </vt:variant>
      <vt:variant>
        <vt:i4>5</vt:i4>
      </vt:variant>
      <vt:variant>
        <vt:lpwstr>https://mn.gov/admin/assets/grants_policy_08-10_tcm36-207117.pdf</vt:lpwstr>
      </vt:variant>
      <vt:variant>
        <vt:lpwstr/>
      </vt:variant>
      <vt:variant>
        <vt:i4>2883696</vt:i4>
      </vt:variant>
      <vt:variant>
        <vt:i4>15</vt:i4>
      </vt:variant>
      <vt:variant>
        <vt:i4>0</vt:i4>
      </vt:variant>
      <vt:variant>
        <vt:i4>5</vt:i4>
      </vt:variant>
      <vt:variant>
        <vt:lpwstr>https://www.revisor.mn.gov/statutes/?id=16B.97</vt:lpwstr>
      </vt:variant>
      <vt:variant>
        <vt:lpwstr/>
      </vt:variant>
      <vt:variant>
        <vt:i4>2621481</vt:i4>
      </vt:variant>
      <vt:variant>
        <vt:i4>12</vt:i4>
      </vt:variant>
      <vt:variant>
        <vt:i4>0</vt:i4>
      </vt:variant>
      <vt:variant>
        <vt:i4>5</vt:i4>
      </vt:variant>
      <vt:variant>
        <vt:lpwstr>https://mn.gov/deed/programs-services/paid-family/</vt:lpwstr>
      </vt:variant>
      <vt:variant>
        <vt:lpwstr/>
      </vt:variant>
      <vt:variant>
        <vt:i4>6225924</vt:i4>
      </vt:variant>
      <vt:variant>
        <vt:i4>9</vt:i4>
      </vt:variant>
      <vt:variant>
        <vt:i4>0</vt:i4>
      </vt:variant>
      <vt:variant>
        <vt:i4>5</vt:i4>
      </vt:variant>
      <vt:variant>
        <vt:lpwstr>http://www.dli.mn.gov/newparents</vt:lpwstr>
      </vt:variant>
      <vt:variant>
        <vt:lpwstr/>
      </vt:variant>
      <vt:variant>
        <vt:i4>1572974</vt:i4>
      </vt:variant>
      <vt:variant>
        <vt:i4>6</vt:i4>
      </vt:variant>
      <vt:variant>
        <vt:i4>0</vt:i4>
      </vt:variant>
      <vt:variant>
        <vt:i4>5</vt:i4>
      </vt:variant>
      <vt:variant>
        <vt:lpwstr>mailto:eric.p.olberding@state.mn.us</vt:lpwstr>
      </vt:variant>
      <vt:variant>
        <vt:lpwstr/>
      </vt:variant>
      <vt:variant>
        <vt:i4>4456520</vt:i4>
      </vt:variant>
      <vt:variant>
        <vt:i4>3</vt:i4>
      </vt:variant>
      <vt:variant>
        <vt:i4>0</vt:i4>
      </vt:variant>
      <vt:variant>
        <vt:i4>5</vt:i4>
      </vt:variant>
      <vt:variant>
        <vt:lpwstr>https://www.dli.mn.gov/business/employment-practices/womens-economic-security-act-wesa-engagement-and-education-grant</vt:lpwstr>
      </vt:variant>
      <vt:variant>
        <vt:lpwstr/>
      </vt:variant>
      <vt:variant>
        <vt:i4>1572974</vt:i4>
      </vt:variant>
      <vt:variant>
        <vt:i4>0</vt:i4>
      </vt:variant>
      <vt:variant>
        <vt:i4>0</vt:i4>
      </vt:variant>
      <vt:variant>
        <vt:i4>5</vt:i4>
      </vt:variant>
      <vt:variant>
        <vt:lpwstr>mailto:eric.p.olberding@state.mn.us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Women’s Economic Security Act (WESA) and paid family medical leave (PFML) Engagement and Education Grant fiscal-year 2025 request for proposal (RFP)</dc:title>
  <dc:subject/>
  <dc:creator/>
  <cp:keywords/>
  <dc:description/>
  <cp:lastModifiedBy/>
  <cp:revision>5</cp:revision>
  <dcterms:created xsi:type="dcterms:W3CDTF">2024-01-17T04:09:00Z</dcterms:created>
  <dcterms:modified xsi:type="dcterms:W3CDTF">2024-02-05T19:18:00Z</dcterms:modified>
  <cp:category/>
  <cp:contentStatus/>
</cp:coreProperties>
</file>