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B00" w14:textId="77777777" w:rsidR="0057497D" w:rsidRPr="004249BC" w:rsidRDefault="0030336E" w:rsidP="00737F33">
      <w:pPr>
        <w:contextualSpacing/>
        <w:rPr>
          <w:b/>
        </w:rPr>
      </w:pPr>
      <w:r w:rsidRPr="004249BC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4249BC" w:rsidRDefault="34F3931C" w:rsidP="47FCDBE1">
      <w:pPr>
        <w:rPr>
          <w:rFonts w:eastAsiaTheme="majorEastAsia"/>
          <w:color w:val="A6192E"/>
        </w:rPr>
      </w:pPr>
      <w:r w:rsidRPr="004249BC">
        <w:rPr>
          <w:rFonts w:eastAsiaTheme="majorEastAsia"/>
          <w:color w:val="A6192E"/>
        </w:rPr>
        <w:t>[</w:t>
      </w:r>
      <w:r w:rsidR="00C018F2" w:rsidRPr="004249BC">
        <w:rPr>
          <w:rFonts w:eastAsiaTheme="majorEastAsia"/>
          <w:b/>
          <w:bCs/>
          <w:color w:val="A6192E"/>
        </w:rPr>
        <w:t>E</w:t>
      </w:r>
      <w:r w:rsidR="0064753B" w:rsidRPr="004249BC">
        <w:rPr>
          <w:rFonts w:eastAsiaTheme="majorEastAsia"/>
          <w:b/>
          <w:bCs/>
          <w:color w:val="A6192E"/>
        </w:rPr>
        <w:t>mployers</w:t>
      </w:r>
      <w:r w:rsidR="00C018F2" w:rsidRPr="004249BC">
        <w:rPr>
          <w:rFonts w:eastAsiaTheme="majorEastAsia"/>
          <w:color w:val="A6192E"/>
        </w:rPr>
        <w:t>:</w:t>
      </w:r>
      <w:r w:rsidR="0064753B" w:rsidRPr="004249BC">
        <w:rPr>
          <w:rFonts w:eastAsiaTheme="majorEastAsia"/>
          <w:color w:val="A6192E"/>
        </w:rPr>
        <w:t xml:space="preserve"> </w:t>
      </w:r>
      <w:r w:rsidR="00B975F7" w:rsidRPr="004249BC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4249BC">
          <w:rPr>
            <w:rStyle w:val="Hyperlink"/>
            <w:rFonts w:eastAsiaTheme="majorEastAsia"/>
          </w:rPr>
          <w:t>Minn</w:t>
        </w:r>
        <w:r w:rsidR="0064753B" w:rsidRPr="004249BC">
          <w:rPr>
            <w:rStyle w:val="Hyperlink"/>
            <w:rFonts w:eastAsiaTheme="majorEastAsia"/>
          </w:rPr>
          <w:t>esota</w:t>
        </w:r>
        <w:r w:rsidR="00B975F7" w:rsidRPr="004249BC">
          <w:rPr>
            <w:rStyle w:val="Hyperlink"/>
            <w:rFonts w:eastAsiaTheme="majorEastAsia"/>
          </w:rPr>
          <w:t xml:space="preserve"> Stat</w:t>
        </w:r>
        <w:r w:rsidR="0064753B" w:rsidRPr="004249BC">
          <w:rPr>
            <w:rStyle w:val="Hyperlink"/>
            <w:rFonts w:eastAsiaTheme="majorEastAsia"/>
          </w:rPr>
          <w:t>utes</w:t>
        </w:r>
        <w:r w:rsidR="00B975F7" w:rsidRPr="004249BC">
          <w:rPr>
            <w:rStyle w:val="Hyperlink"/>
            <w:rFonts w:eastAsiaTheme="majorEastAsia"/>
          </w:rPr>
          <w:t xml:space="preserve"> </w:t>
        </w:r>
        <w:r w:rsidR="00B975F7" w:rsidRPr="004249BC">
          <w:rPr>
            <w:rStyle w:val="Hyperlink"/>
            <w:rFonts w:eastAsiaTheme="majorEastAsia" w:cs="Calibri"/>
          </w:rPr>
          <w:t>§</w:t>
        </w:r>
        <w:r w:rsidR="00B975F7" w:rsidRPr="004249BC">
          <w:rPr>
            <w:rStyle w:val="Hyperlink"/>
            <w:rFonts w:eastAsiaTheme="majorEastAsia"/>
          </w:rPr>
          <w:t xml:space="preserve"> 181.9447, subd</w:t>
        </w:r>
        <w:r w:rsidR="0064753B" w:rsidRPr="004249BC">
          <w:rPr>
            <w:rStyle w:val="Hyperlink"/>
            <w:rFonts w:eastAsiaTheme="majorEastAsia"/>
          </w:rPr>
          <w:t>ivision</w:t>
        </w:r>
        <w:r w:rsidR="00B975F7" w:rsidRPr="004249BC">
          <w:rPr>
            <w:rStyle w:val="Hyperlink"/>
            <w:rFonts w:eastAsiaTheme="majorEastAsia"/>
          </w:rPr>
          <w:t xml:space="preserve"> 9</w:t>
        </w:r>
      </w:hyperlink>
      <w:r w:rsidR="00B975F7" w:rsidRPr="004249BC">
        <w:rPr>
          <w:rFonts w:eastAsiaTheme="majorEastAsia"/>
          <w:color w:val="A6192E"/>
        </w:rPr>
        <w:t xml:space="preserve">. </w:t>
      </w:r>
      <w:r w:rsidRPr="004249BC">
        <w:rPr>
          <w:rFonts w:eastAsiaTheme="majorEastAsia"/>
          <w:color w:val="A6192E"/>
        </w:rPr>
        <w:t>I</w:t>
      </w:r>
      <w:r w:rsidR="00557BE9" w:rsidRPr="004249BC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4249BC">
        <w:rPr>
          <w:rFonts w:eastAsiaTheme="majorEastAsia"/>
          <w:color w:val="A6192E"/>
        </w:rPr>
        <w:t>.]</w:t>
      </w:r>
    </w:p>
    <w:p w14:paraId="6A38340A" w14:textId="51E79C35" w:rsidR="00101F7E" w:rsidRPr="00A531F8" w:rsidRDefault="00303BCC" w:rsidP="008246E6">
      <w:pPr>
        <w:pStyle w:val="Heading1"/>
        <w:rPr>
          <w:rFonts w:eastAsiaTheme="majorEastAsia"/>
          <w:lang w:val="ru-RU"/>
        </w:rPr>
      </w:pPr>
      <w:r>
        <w:rPr>
          <w:rFonts w:eastAsiaTheme="majorEastAsia"/>
          <w:lang w:val="uk-UA"/>
        </w:rPr>
        <w:t>Оповiще</w:t>
      </w:r>
      <w:r w:rsidRPr="00303BCC">
        <w:rPr>
          <w:rFonts w:eastAsiaTheme="majorEastAsia"/>
          <w:lang w:val="ru-RU"/>
        </w:rPr>
        <w:t>ння працівників про за</w:t>
      </w:r>
      <w:r>
        <w:rPr>
          <w:rFonts w:eastAsiaTheme="majorEastAsia"/>
          <w:lang w:val="ru-RU"/>
        </w:rPr>
        <w:t>робленi години</w:t>
      </w:r>
      <w:r w:rsidRPr="00303BCC">
        <w:rPr>
          <w:rFonts w:eastAsiaTheme="majorEastAsia"/>
          <w:lang w:val="ru-RU"/>
        </w:rPr>
        <w:t xml:space="preserve"> на випад</w:t>
      </w:r>
      <w:r>
        <w:rPr>
          <w:rFonts w:eastAsiaTheme="majorEastAsia"/>
          <w:lang w:val="ru-RU"/>
        </w:rPr>
        <w:t>ок</w:t>
      </w:r>
      <w:r w:rsidRPr="00303BCC">
        <w:rPr>
          <w:rFonts w:eastAsiaTheme="majorEastAsia"/>
          <w:lang w:val="ru-RU"/>
        </w:rPr>
        <w:t xml:space="preserve"> хвороби та безпеки</w:t>
      </w:r>
    </w:p>
    <w:p w14:paraId="769CAC53" w14:textId="58660750" w:rsidR="004725C6" w:rsidRPr="00AF1133" w:rsidRDefault="00303BCC" w:rsidP="006355F4">
      <w:pPr>
        <w:rPr>
          <w:rFonts w:eastAsiaTheme="majorEastAsia"/>
        </w:rPr>
      </w:pPr>
      <w:r w:rsidRPr="00303BCC">
        <w:rPr>
          <w:rFonts w:eastAsiaTheme="majorEastAsia"/>
          <w:lang w:val="ru-RU"/>
        </w:rPr>
        <w:t>Працівники в Міннесоті мають право на відпус</w:t>
      </w:r>
      <w:r>
        <w:rPr>
          <w:rFonts w:eastAsiaTheme="majorEastAsia"/>
          <w:lang w:val="ru-RU"/>
        </w:rPr>
        <w:t>тку</w:t>
      </w:r>
      <w:r w:rsidRPr="00303BCC">
        <w:rPr>
          <w:rFonts w:eastAsiaTheme="majorEastAsia"/>
          <w:lang w:val="ru-RU"/>
        </w:rPr>
        <w:t xml:space="preserve"> у разі хвороби та безпеки, що є формою оплачувано</w:t>
      </w:r>
      <w:r>
        <w:rPr>
          <w:rFonts w:eastAsiaTheme="majorEastAsia"/>
          <w:lang w:val="ru-RU"/>
        </w:rPr>
        <w:t>ї</w:t>
      </w:r>
      <w:r w:rsidRPr="00303BCC">
        <w:rPr>
          <w:rFonts w:eastAsiaTheme="majorEastAsia"/>
          <w:lang w:val="ru-RU"/>
        </w:rPr>
        <w:t xml:space="preserve"> відпус</w:t>
      </w:r>
      <w:r>
        <w:rPr>
          <w:rFonts w:eastAsiaTheme="majorEastAsia"/>
          <w:lang w:val="ru-RU"/>
        </w:rPr>
        <w:t>тки</w:t>
      </w:r>
      <w:r w:rsidRPr="00303BCC">
        <w:rPr>
          <w:rFonts w:eastAsiaTheme="majorEastAsia"/>
          <w:lang w:val="ru-RU"/>
        </w:rPr>
        <w:t>. Працівники повинні нак</w:t>
      </w:r>
      <w:r>
        <w:rPr>
          <w:rFonts w:eastAsiaTheme="majorEastAsia"/>
          <w:lang w:val="ru-RU"/>
        </w:rPr>
        <w:t>опичувати</w:t>
      </w:r>
      <w:r w:rsidRPr="00303BCC">
        <w:rPr>
          <w:rFonts w:eastAsiaTheme="majorEastAsia"/>
          <w:lang w:val="ru-RU"/>
        </w:rPr>
        <w:t xml:space="preserve"> не менше однієї години </w:t>
      </w:r>
      <w:r>
        <w:rPr>
          <w:rFonts w:eastAsiaTheme="majorEastAsia"/>
          <w:lang w:val="ru-RU"/>
        </w:rPr>
        <w:t>зароблено</w:t>
      </w:r>
      <w:r w:rsidRPr="00303BCC">
        <w:rPr>
          <w:rFonts w:eastAsiaTheme="majorEastAsia"/>
          <w:lang w:val="ru-RU"/>
        </w:rPr>
        <w:t xml:space="preserve">го часу на випадок хвороби та безпеки </w:t>
      </w:r>
      <w:r>
        <w:rPr>
          <w:rFonts w:eastAsiaTheme="majorEastAsia"/>
          <w:lang w:val="ru-RU"/>
        </w:rPr>
        <w:t>за кожнi</w:t>
      </w:r>
      <w:r w:rsidRPr="00303BCC">
        <w:rPr>
          <w:rFonts w:eastAsiaTheme="majorEastAsia"/>
          <w:lang w:val="ru-RU"/>
        </w:rPr>
        <w:t xml:space="preserve"> 30 годин роботи, але не менше 48 годин на рік. </w:t>
      </w:r>
      <w:r w:rsidR="00B16FE6" w:rsidRPr="004249BC">
        <w:rPr>
          <w:rFonts w:eastAsiaTheme="majorEastAsia"/>
          <w:color w:val="C00000"/>
        </w:rPr>
        <w:t>[I</w:t>
      </w:r>
      <w:r w:rsidR="007E22B0" w:rsidRPr="004249BC">
        <w:rPr>
          <w:rFonts w:eastAsiaTheme="majorEastAsia"/>
          <w:color w:val="C00000"/>
        </w:rPr>
        <w:t>f you are using a more generous accrual system or a front-loading system</w:t>
      </w:r>
      <w:r w:rsidR="00CB01B4" w:rsidRPr="004249BC">
        <w:rPr>
          <w:rFonts w:eastAsiaTheme="majorEastAsia"/>
          <w:color w:val="C00000"/>
        </w:rPr>
        <w:t xml:space="preserve">, edit the previous sentence and insert </w:t>
      </w:r>
      <w:r w:rsidR="00223E2C" w:rsidRPr="004249BC">
        <w:rPr>
          <w:rFonts w:eastAsiaTheme="majorEastAsia"/>
          <w:color w:val="C00000"/>
        </w:rPr>
        <w:t>t</w:t>
      </w:r>
      <w:r w:rsidR="00CB01B4" w:rsidRPr="004249BC">
        <w:rPr>
          <w:rFonts w:eastAsiaTheme="majorEastAsia"/>
          <w:color w:val="C00000"/>
        </w:rPr>
        <w:t>h</w:t>
      </w:r>
      <w:r w:rsidR="00223E2C" w:rsidRPr="004249BC">
        <w:rPr>
          <w:rFonts w:eastAsiaTheme="majorEastAsia"/>
          <w:color w:val="C00000"/>
        </w:rPr>
        <w:t>e</w:t>
      </w:r>
      <w:r w:rsidR="00CB01B4" w:rsidRPr="004249BC">
        <w:rPr>
          <w:rFonts w:eastAsiaTheme="majorEastAsia"/>
          <w:color w:val="C00000"/>
        </w:rPr>
        <w:t xml:space="preserve"> applicable system for the employee who will receive this notice</w:t>
      </w:r>
      <w:r w:rsidR="00877B55" w:rsidRPr="004249BC">
        <w:rPr>
          <w:rFonts w:eastAsiaTheme="majorEastAsia"/>
          <w:color w:val="C00000"/>
        </w:rPr>
        <w:t>.</w:t>
      </w:r>
      <w:r w:rsidR="00B16FE6" w:rsidRPr="004249BC">
        <w:rPr>
          <w:rFonts w:eastAsiaTheme="majorEastAsia"/>
          <w:color w:val="C00000"/>
        </w:rPr>
        <w:t>]</w:t>
      </w:r>
      <w:r w:rsidR="00B16FE6" w:rsidRPr="004249BC">
        <w:rPr>
          <w:rFonts w:eastAsiaTheme="majorEastAsia"/>
        </w:rPr>
        <w:t xml:space="preserve"> </w:t>
      </w:r>
      <w:r>
        <w:rPr>
          <w:rFonts w:eastAsiaTheme="majorEastAsia"/>
          <w:lang w:val="ru-RU"/>
        </w:rPr>
        <w:t>Р</w:t>
      </w:r>
      <w:r w:rsidR="00C855BA">
        <w:rPr>
          <w:rFonts w:eastAsiaTheme="majorEastAsia"/>
          <w:lang w:val="uk-UA"/>
        </w:rPr>
        <w:t>оком</w:t>
      </w:r>
      <w:r w:rsidRPr="00303BCC">
        <w:rPr>
          <w:rFonts w:eastAsiaTheme="majorEastAsia"/>
        </w:rPr>
        <w:t xml:space="preserve"> </w:t>
      </w:r>
      <w:r>
        <w:rPr>
          <w:rFonts w:eastAsiaTheme="majorEastAsia"/>
          <w:lang w:val="uk-UA"/>
        </w:rPr>
        <w:t>у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цілях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нарахування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працівнику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зароб</w:t>
      </w:r>
      <w:r>
        <w:rPr>
          <w:rFonts w:eastAsiaTheme="majorEastAsia"/>
          <w:lang w:val="ru-RU"/>
        </w:rPr>
        <w:t>леного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часу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на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випадок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хвороби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і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безпеки</w:t>
      </w:r>
      <w:r w:rsidRPr="00303BCC">
        <w:rPr>
          <w:rFonts w:eastAsiaTheme="majorEastAsia"/>
        </w:rPr>
        <w:t xml:space="preserve"> </w:t>
      </w:r>
      <w:r w:rsidRPr="00303BCC">
        <w:rPr>
          <w:rFonts w:eastAsiaTheme="majorEastAsia"/>
          <w:lang w:val="ru-RU"/>
        </w:rPr>
        <w:t>вважається</w:t>
      </w:r>
      <w:r w:rsidR="006B6A97" w:rsidRPr="00303BCC">
        <w:rPr>
          <w:rFonts w:eastAsiaTheme="majorEastAsia"/>
        </w:rPr>
        <w:t xml:space="preserve">: </w:t>
      </w:r>
      <w:bookmarkStart w:id="0" w:name="_Hlk149587645"/>
      <w:r w:rsidR="006355F4" w:rsidRPr="00303BCC">
        <w:rPr>
          <w:rFonts w:eastAsiaTheme="majorEastAsia"/>
          <w:color w:val="C00000"/>
        </w:rPr>
        <w:t>[</w:t>
      </w:r>
      <w:r w:rsidR="006355F4" w:rsidRPr="004249BC">
        <w:rPr>
          <w:rFonts w:eastAsiaTheme="majorEastAsia"/>
          <w:color w:val="C00000"/>
        </w:rPr>
        <w:t>N</w:t>
      </w:r>
      <w:r w:rsidR="00223E2C" w:rsidRPr="004249BC">
        <w:rPr>
          <w:rFonts w:eastAsiaTheme="majorEastAsia"/>
          <w:color w:val="C00000"/>
        </w:rPr>
        <w:t>ote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here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how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you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define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the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accrual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or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benefit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year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for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the</w:t>
      </w:r>
      <w:r w:rsidR="00223E2C" w:rsidRPr="00303BCC">
        <w:rPr>
          <w:rFonts w:eastAsiaTheme="majorEastAsia"/>
          <w:color w:val="C00000"/>
        </w:rPr>
        <w:t xml:space="preserve"> </w:t>
      </w:r>
      <w:r w:rsidR="00223E2C" w:rsidRPr="004249BC">
        <w:rPr>
          <w:rFonts w:eastAsiaTheme="majorEastAsia"/>
          <w:color w:val="C00000"/>
        </w:rPr>
        <w:t>employee</w:t>
      </w:r>
      <w:r w:rsidR="00FC26D4" w:rsidRPr="00303BCC">
        <w:rPr>
          <w:rFonts w:eastAsiaTheme="majorEastAsia"/>
          <w:color w:val="C00000"/>
        </w:rPr>
        <w:t xml:space="preserve">. </w:t>
      </w:r>
      <w:r w:rsidR="00FC26D4" w:rsidRPr="004249BC">
        <w:rPr>
          <w:rFonts w:eastAsiaTheme="majorEastAsia"/>
          <w:color w:val="C00000"/>
        </w:rPr>
        <w:t>Examples include the calendar year, year by work anniversary or another 12-month period</w:t>
      </w:r>
      <w:r w:rsidR="00667DE9" w:rsidRPr="004249BC">
        <w:rPr>
          <w:rFonts w:eastAsiaTheme="majorEastAsia"/>
          <w:color w:val="C00000"/>
        </w:rPr>
        <w:t>.</w:t>
      </w:r>
      <w:r w:rsidR="006355F4" w:rsidRPr="004249BC">
        <w:rPr>
          <w:rFonts w:eastAsiaTheme="majorEastAsia"/>
          <w:color w:val="C00000"/>
        </w:rPr>
        <w:t>]</w:t>
      </w:r>
      <w:bookmarkEnd w:id="0"/>
    </w:p>
    <w:p w14:paraId="6C50EBBB" w14:textId="61B84785" w:rsidR="00FA2BB1" w:rsidRDefault="00F76AD8" w:rsidP="00C324F8">
      <w:pPr>
        <w:rPr>
          <w:rFonts w:eastAsiaTheme="majorEastAsia"/>
          <w:lang w:val="ru-RU"/>
        </w:rPr>
      </w:pPr>
      <w:r w:rsidRPr="00F76AD8">
        <w:rPr>
          <w:rFonts w:eastAsiaTheme="majorEastAsia"/>
          <w:lang w:val="ru-RU"/>
        </w:rPr>
        <w:t>Наприкінці кожного платіжного періоду роботодавці повинні надавати працівникам кількість зароблених лікарняних та безпечних годин, використаних працівником протягом платіжного періоду та доступних для використання в майбутньому</w:t>
      </w:r>
      <w:r w:rsidR="00C324F8" w:rsidRPr="00F76AD8">
        <w:rPr>
          <w:rFonts w:eastAsiaTheme="majorEastAsia"/>
          <w:lang w:val="ru-RU"/>
        </w:rPr>
        <w:t xml:space="preserve">. </w:t>
      </w:r>
      <w:r w:rsidR="00C324F8" w:rsidRPr="00C324F8">
        <w:rPr>
          <w:rFonts w:eastAsiaTheme="majorEastAsia"/>
          <w:lang w:val="ru-RU"/>
        </w:rPr>
        <w:t xml:space="preserve">Зароблений час на випадок хвороби та безпеки повинен оплачуватись за такою ж </w:t>
      </w:r>
      <w:r>
        <w:rPr>
          <w:rFonts w:eastAsiaTheme="majorEastAsia"/>
          <w:lang w:val="ru-RU"/>
        </w:rPr>
        <w:t>базов</w:t>
      </w:r>
      <w:r w:rsidR="00C324F8" w:rsidRPr="00C324F8">
        <w:rPr>
          <w:rFonts w:eastAsiaTheme="majorEastAsia"/>
          <w:lang w:val="ru-RU"/>
        </w:rPr>
        <w:t>ою ставкою, за якою оплачується праця працівника.</w:t>
      </w:r>
      <w:r w:rsidR="00C324F8">
        <w:rPr>
          <w:rFonts w:eastAsiaTheme="majorEastAsia"/>
          <w:lang w:val="ru-RU"/>
        </w:rPr>
        <w:t xml:space="preserve"> </w:t>
      </w:r>
      <w:r w:rsidR="00C324F8" w:rsidRPr="00C324F8">
        <w:rPr>
          <w:rFonts w:eastAsiaTheme="majorEastAsia"/>
          <w:lang w:val="ru-RU"/>
        </w:rPr>
        <w:t>Працівники не зобов'язані шукати або знаходити заміну своєї зміни, щоб використати зароблений час на випадок хвороби та безпеки.</w:t>
      </w:r>
      <w:r w:rsidR="00C324F8">
        <w:rPr>
          <w:rFonts w:eastAsiaTheme="majorEastAsia"/>
          <w:lang w:val="ru-RU"/>
        </w:rPr>
        <w:t xml:space="preserve"> </w:t>
      </w:r>
      <w:r w:rsidR="00C324F8" w:rsidRPr="00C324F8">
        <w:rPr>
          <w:rFonts w:eastAsiaTheme="majorEastAsia"/>
          <w:lang w:val="ru-RU"/>
        </w:rPr>
        <w:t>Вони можуть використовувати зароблен</w:t>
      </w:r>
      <w:r w:rsidR="00C324F8">
        <w:rPr>
          <w:rFonts w:eastAsiaTheme="majorEastAsia"/>
          <w:lang w:val="ru-RU"/>
        </w:rPr>
        <w:t>i</w:t>
      </w:r>
      <w:r w:rsidR="00C324F8" w:rsidRPr="00C324F8">
        <w:rPr>
          <w:rFonts w:eastAsiaTheme="majorEastAsia"/>
          <w:lang w:val="ru-RU"/>
        </w:rPr>
        <w:t xml:space="preserve"> годин</w:t>
      </w:r>
      <w:r w:rsidR="00C324F8">
        <w:rPr>
          <w:rFonts w:eastAsiaTheme="majorEastAsia"/>
          <w:lang w:val="ru-RU"/>
        </w:rPr>
        <w:t>и</w:t>
      </w:r>
      <w:r w:rsidR="00C324F8" w:rsidRPr="00C324F8">
        <w:rPr>
          <w:rFonts w:eastAsiaTheme="majorEastAsia"/>
          <w:lang w:val="ru-RU"/>
        </w:rPr>
        <w:t xml:space="preserve"> протягом всієї зміни або </w:t>
      </w:r>
      <w:r w:rsidR="00C324F8">
        <w:rPr>
          <w:rFonts w:eastAsiaTheme="majorEastAsia"/>
          <w:lang w:val="ru-RU"/>
        </w:rPr>
        <w:t xml:space="preserve">її </w:t>
      </w:r>
      <w:r w:rsidR="00C324F8" w:rsidRPr="00C324F8">
        <w:rPr>
          <w:rFonts w:eastAsiaTheme="majorEastAsia"/>
          <w:lang w:val="ru-RU"/>
        </w:rPr>
        <w:t>частини, залежно від їх потреб</w:t>
      </w:r>
      <w:r w:rsidR="00FA2BB1" w:rsidRPr="00FA2BB1">
        <w:rPr>
          <w:rFonts w:eastAsiaTheme="majorEastAsia"/>
          <w:lang w:val="ru-RU"/>
        </w:rPr>
        <w:t>.</w:t>
      </w:r>
      <w:r w:rsidR="00FA2BB1">
        <w:rPr>
          <w:rFonts w:eastAsiaTheme="majorEastAsia"/>
          <w:lang w:val="ru-RU"/>
        </w:rPr>
        <w:t xml:space="preserve"> </w:t>
      </w:r>
    </w:p>
    <w:p w14:paraId="383AF2DA" w14:textId="56627698" w:rsidR="0079713F" w:rsidRPr="00FA2BB1" w:rsidRDefault="00C324F8" w:rsidP="0079713F">
      <w:pPr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Зароблений час на випадок хвороби та безпеки може використовуватись для:</w:t>
      </w:r>
    </w:p>
    <w:p w14:paraId="3BDEF8E1" w14:textId="10888B87" w:rsidR="00C324F8" w:rsidRPr="00C324F8" w:rsidRDefault="00C324F8" w:rsidP="00C324F8">
      <w:pPr>
        <w:pStyle w:val="ListParagraph"/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психічного чи фізичного захворювання, лікування чи профілактики співробітника;</w:t>
      </w:r>
    </w:p>
    <w:p w14:paraId="73FEACB9" w14:textId="56C10A30" w:rsidR="00C324F8" w:rsidRPr="00C324F8" w:rsidRDefault="00C324F8" w:rsidP="00C324F8">
      <w:pPr>
        <w:pStyle w:val="ListParagraph"/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психічного чи фізичного захворювання, лікування чи профілактики члена сім'ї співробітника;</w:t>
      </w:r>
    </w:p>
    <w:p w14:paraId="0C351F02" w14:textId="04899C3C" w:rsidR="00C324F8" w:rsidRPr="00C324F8" w:rsidRDefault="00C324F8" w:rsidP="00C324F8">
      <w:pPr>
        <w:pStyle w:val="ListParagraph"/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пропуск роботи через домашнє насильство, сексуальний напад або переслідування співробітника або члена його сім'ї;</w:t>
      </w:r>
    </w:p>
    <w:p w14:paraId="6CF3557B" w14:textId="759C9207" w:rsidR="00C324F8" w:rsidRPr="00C324F8" w:rsidRDefault="00C324F8" w:rsidP="00C324F8">
      <w:pPr>
        <w:pStyle w:val="ListParagraph"/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закриття робочого місця працівника через погодні умови чи надзвичайне становище</w:t>
      </w:r>
      <w:r>
        <w:rPr>
          <w:rFonts w:eastAsiaTheme="majorEastAsia"/>
          <w:lang w:val="ru-RU"/>
        </w:rPr>
        <w:t xml:space="preserve"> </w:t>
      </w:r>
      <w:r w:rsidRPr="00C324F8">
        <w:rPr>
          <w:rFonts w:eastAsiaTheme="majorEastAsia"/>
          <w:lang w:val="ru-RU"/>
        </w:rPr>
        <w:t xml:space="preserve">або закриття школи чи установи для догляду за членами його сім'ї через погодні умови чи надзвичайне становище; </w:t>
      </w:r>
    </w:p>
    <w:p w14:paraId="5D93492F" w14:textId="683755B5" w:rsidR="00885C42" w:rsidRDefault="00C324F8" w:rsidP="00C324F8">
      <w:pPr>
        <w:pStyle w:val="ListParagraph"/>
        <w:rPr>
          <w:rFonts w:eastAsiaTheme="majorEastAsia"/>
          <w:lang w:val="ru-RU"/>
        </w:rPr>
      </w:pPr>
      <w:r w:rsidRPr="00C324F8">
        <w:rPr>
          <w:rFonts w:eastAsiaTheme="majorEastAsia"/>
          <w:lang w:val="ru-RU"/>
        </w:rPr>
        <w:t>коли орган охорони здоров'я або медичний працівник встановив, що співробітник чи член його сім'ї наражається на ризик зараження інших інфекційним захворюванням</w:t>
      </w:r>
      <w:r w:rsidR="00F76AD8">
        <w:rPr>
          <w:rFonts w:eastAsiaTheme="majorEastAsia"/>
          <w:lang w:val="ru-RU"/>
        </w:rPr>
        <w:t>; i</w:t>
      </w:r>
    </w:p>
    <w:p w14:paraId="03E25C14" w14:textId="73A2D05E" w:rsidR="00F76AD8" w:rsidRPr="00FB0B32" w:rsidRDefault="00F76AD8" w:rsidP="00C324F8">
      <w:pPr>
        <w:pStyle w:val="ListParagraph"/>
        <w:rPr>
          <w:rFonts w:eastAsiaTheme="majorEastAsia"/>
          <w:lang w:val="ru-RU"/>
        </w:rPr>
      </w:pPr>
      <w:r w:rsidRPr="00FF445B">
        <w:rPr>
          <w:rFonts w:cstheme="minorHAnsi"/>
          <w:lang w:val="ru-RU"/>
        </w:rPr>
        <w:t>організаці</w:t>
      </w:r>
      <w:r>
        <w:rPr>
          <w:rFonts w:cstheme="minorHAnsi"/>
          <w:lang w:val="ru-RU"/>
        </w:rPr>
        <w:t>ї</w:t>
      </w:r>
      <w:r w:rsidRPr="00FF445B">
        <w:rPr>
          <w:rFonts w:cstheme="minorHAnsi"/>
          <w:lang w:val="ru-RU"/>
        </w:rPr>
        <w:t xml:space="preserve"> похорону, відвідування похоронної служби чи поминків або вирішення фінансових чи юридичних питань, які виникають після смерті члена сім’ї</w:t>
      </w:r>
    </w:p>
    <w:p w14:paraId="6B70526E" w14:textId="5B6F2CA0" w:rsidR="007A6E68" w:rsidRPr="0042216B" w:rsidRDefault="00B4180E" w:rsidP="007A6E68">
      <w:pPr>
        <w:pStyle w:val="Heading2"/>
        <w:rPr>
          <w:lang w:val="ru-RU"/>
        </w:rPr>
      </w:pPr>
      <w:r>
        <w:rPr>
          <w:lang w:val="ru-RU"/>
        </w:rPr>
        <w:lastRenderedPageBreak/>
        <w:t>Оповiщення</w:t>
      </w:r>
      <w:r w:rsidRPr="00B4180E">
        <w:rPr>
          <w:lang w:val="ru-RU"/>
        </w:rPr>
        <w:t xml:space="preserve"> роботодавця, документація</w:t>
      </w:r>
    </w:p>
    <w:p w14:paraId="461DADAB" w14:textId="4D33C24E" w:rsidR="00B4180E" w:rsidRDefault="00B4180E" w:rsidP="007A6E68">
      <w:pPr>
        <w:rPr>
          <w:rFonts w:eastAsiaTheme="majorEastAsia"/>
          <w:lang w:val="ru-RU"/>
        </w:rPr>
      </w:pPr>
      <w:r w:rsidRPr="00B4180E">
        <w:rPr>
          <w:rFonts w:eastAsiaTheme="majorEastAsia"/>
          <w:lang w:val="ru-RU"/>
        </w:rPr>
        <w:t>Роботодавець може вимагати від своїх співробітників попереднього повідомлення за сім днів, якщо це можливо (наприклад, якщо у працівника заздалегідь запланован</w:t>
      </w:r>
      <w:r>
        <w:rPr>
          <w:rFonts w:eastAsiaTheme="majorEastAsia"/>
          <w:lang w:val="ru-RU"/>
        </w:rPr>
        <w:t>ий</w:t>
      </w:r>
      <w:r w:rsidRPr="00B4180E">
        <w:rPr>
          <w:rFonts w:eastAsiaTheme="majorEastAsia"/>
          <w:lang w:val="ru-RU"/>
        </w:rPr>
        <w:t xml:space="preserve"> прийом до лікаря) перед використанням годин на випадок хвороби та безпеки. Роботодавець також може вимагати від своїх співробітників надати певну документацію щодо причини використання ними зароблен</w:t>
      </w:r>
      <w:r>
        <w:rPr>
          <w:rFonts w:eastAsiaTheme="majorEastAsia"/>
          <w:lang w:val="ru-RU"/>
        </w:rPr>
        <w:t>их годин</w:t>
      </w:r>
      <w:r w:rsidRPr="00B4180E">
        <w:rPr>
          <w:rFonts w:eastAsiaTheme="majorEastAsia"/>
          <w:lang w:val="ru-RU"/>
        </w:rPr>
        <w:t xml:space="preserve"> на випадок хвороби та безпеки, якщо вони використовують його більше трьох днів поспіль</w:t>
      </w:r>
      <w:r>
        <w:rPr>
          <w:rFonts w:eastAsiaTheme="majorEastAsia"/>
          <w:lang w:val="ru-RU"/>
        </w:rPr>
        <w:t>.</w:t>
      </w:r>
    </w:p>
    <w:p w14:paraId="516D3CE7" w14:textId="0E5D67F5" w:rsidR="007A6E68" w:rsidRPr="00F76AD8" w:rsidRDefault="003343A6" w:rsidP="47FCDBE1">
      <w:pPr>
        <w:rPr>
          <w:rFonts w:eastAsiaTheme="majorEastAsia"/>
        </w:rPr>
      </w:pPr>
      <w:r w:rsidRPr="004249BC">
        <w:rPr>
          <w:rFonts w:eastAsiaTheme="majorEastAsia"/>
          <w:color w:val="C00000"/>
        </w:rPr>
        <w:t>[T</w:t>
      </w:r>
      <w:r w:rsidR="00581CDB" w:rsidRPr="004249BC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 w:rsidRPr="004249BC">
        <w:rPr>
          <w:rFonts w:eastAsiaTheme="majorEastAsia"/>
          <w:color w:val="C00000"/>
        </w:rPr>
        <w:t>. Edit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the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following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text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to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match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your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company</w:t>
      </w:r>
      <w:r w:rsidR="006538B9" w:rsidRPr="00F76AD8">
        <w:rPr>
          <w:rFonts w:eastAsiaTheme="majorEastAsia"/>
          <w:color w:val="C00000"/>
        </w:rPr>
        <w:t>’</w:t>
      </w:r>
      <w:r w:rsidR="006538B9" w:rsidRPr="004249BC">
        <w:rPr>
          <w:rFonts w:eastAsiaTheme="majorEastAsia"/>
          <w:color w:val="C00000"/>
        </w:rPr>
        <w:t>s</w:t>
      </w:r>
      <w:r w:rsidR="006538B9" w:rsidRPr="00F76AD8">
        <w:rPr>
          <w:rFonts w:eastAsiaTheme="majorEastAsia"/>
          <w:color w:val="C00000"/>
        </w:rPr>
        <w:t xml:space="preserve"> </w:t>
      </w:r>
      <w:r w:rsidR="006538B9" w:rsidRPr="004249BC">
        <w:rPr>
          <w:rFonts w:eastAsiaTheme="majorEastAsia"/>
          <w:color w:val="C00000"/>
        </w:rPr>
        <w:t>policy</w:t>
      </w:r>
      <w:r w:rsidR="004D7612" w:rsidRPr="00F76AD8">
        <w:rPr>
          <w:rFonts w:eastAsiaTheme="majorEastAsia"/>
          <w:color w:val="C00000"/>
        </w:rPr>
        <w:t>.</w:t>
      </w:r>
      <w:r w:rsidRPr="00F76AD8">
        <w:rPr>
          <w:rFonts w:eastAsiaTheme="majorEastAsia"/>
          <w:color w:val="C00000"/>
        </w:rPr>
        <w:t>]</w:t>
      </w:r>
      <w:r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Якщо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співробітник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планує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використовувати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зароблен</w:t>
      </w:r>
      <w:r w:rsidR="00B4180E" w:rsidRPr="00F76AD8">
        <w:rPr>
          <w:rFonts w:eastAsiaTheme="majorEastAsia"/>
        </w:rPr>
        <w:t xml:space="preserve">i </w:t>
      </w:r>
      <w:r w:rsidR="00B4180E" w:rsidRPr="00B4180E">
        <w:rPr>
          <w:rFonts w:eastAsiaTheme="majorEastAsia"/>
          <w:lang w:val="ru-RU"/>
        </w:rPr>
        <w:t>годин</w:t>
      </w:r>
      <w:r w:rsidR="00B4180E">
        <w:rPr>
          <w:rFonts w:eastAsiaTheme="majorEastAsia"/>
          <w:lang w:val="ru-RU"/>
        </w:rPr>
        <w:t>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на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випадок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хвороби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та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безпеки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для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медичного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прийому</w:t>
      </w:r>
      <w:r w:rsidR="00B4180E" w:rsidRPr="00F76AD8">
        <w:rPr>
          <w:rFonts w:eastAsiaTheme="majorEastAsia"/>
        </w:rPr>
        <w:t xml:space="preserve">, </w:t>
      </w:r>
      <w:r w:rsidR="00B4180E" w:rsidRPr="00B4180E">
        <w:rPr>
          <w:rFonts w:eastAsiaTheme="majorEastAsia"/>
          <w:lang w:val="ru-RU"/>
        </w:rPr>
        <w:t>профілактичного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догляду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або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з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іншої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допустимої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причини</w:t>
      </w:r>
      <w:r w:rsidR="00B4180E" w:rsidRPr="00F76AD8">
        <w:rPr>
          <w:rFonts w:eastAsiaTheme="majorEastAsia"/>
        </w:rPr>
        <w:t xml:space="preserve">, </w:t>
      </w:r>
      <w:r w:rsidR="00B4180E" w:rsidRPr="00B4180E">
        <w:rPr>
          <w:rFonts w:eastAsiaTheme="majorEastAsia"/>
          <w:lang w:val="ru-RU"/>
        </w:rPr>
        <w:t>про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яку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він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знає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заздалегідь</w:t>
      </w:r>
      <w:r w:rsidR="00B4180E" w:rsidRPr="00F76AD8">
        <w:rPr>
          <w:rFonts w:eastAsiaTheme="majorEastAsia"/>
        </w:rPr>
        <w:t xml:space="preserve">, </w:t>
      </w:r>
      <w:r w:rsidR="00B4180E" w:rsidRPr="00B4180E">
        <w:rPr>
          <w:rFonts w:eastAsiaTheme="majorEastAsia"/>
          <w:lang w:val="ru-RU"/>
        </w:rPr>
        <w:t>повідомте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про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це</w:t>
      </w:r>
      <w:r w:rsidR="00B4180E" w:rsidRPr="00F76AD8">
        <w:rPr>
          <w:rFonts w:eastAsiaTheme="majorEastAsia"/>
        </w:rPr>
        <w:t xml:space="preserve"> </w:t>
      </w:r>
      <w:r w:rsidR="34F3931C" w:rsidRPr="00F76AD8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name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position</w:t>
      </w:r>
      <w:r w:rsidR="34F3931C" w:rsidRPr="00F76AD8">
        <w:rPr>
          <w:rFonts w:eastAsiaTheme="majorEastAsia"/>
          <w:color w:val="A6192E"/>
        </w:rPr>
        <w:t>]</w:t>
      </w:r>
      <w:r w:rsidR="34F3931C" w:rsidRPr="00F76AD8">
        <w:rPr>
          <w:rFonts w:eastAsiaTheme="majorEastAsia"/>
          <w:color w:val="FF0000"/>
        </w:rPr>
        <w:t xml:space="preserve"> </w:t>
      </w:r>
      <w:r w:rsidR="0042216B">
        <w:rPr>
          <w:rFonts w:eastAsiaTheme="majorEastAsia"/>
          <w:lang w:val="ru-RU"/>
        </w:rPr>
        <w:t>по</w:t>
      </w:r>
      <w:r w:rsidR="34F3931C" w:rsidRPr="00F76AD8">
        <w:rPr>
          <w:rFonts w:eastAsiaTheme="majorEastAsia"/>
        </w:rPr>
        <w:t xml:space="preserve"> </w:t>
      </w:r>
      <w:r w:rsidR="34F3931C" w:rsidRPr="00F76AD8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phone</w:t>
      </w:r>
      <w:r w:rsidR="00E2072C" w:rsidRPr="00F76AD8">
        <w:rPr>
          <w:rFonts w:eastAsiaTheme="majorEastAsia"/>
          <w:color w:val="A6192E"/>
        </w:rPr>
        <w:t xml:space="preserve">, </w:t>
      </w:r>
      <w:r w:rsidR="00E2072C" w:rsidRPr="004249BC">
        <w:rPr>
          <w:rFonts w:eastAsiaTheme="majorEastAsia"/>
          <w:color w:val="A6192E"/>
        </w:rPr>
        <w:t>email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other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communication</w:t>
      </w:r>
      <w:r w:rsidR="34F3931C" w:rsidRPr="00F76AD8">
        <w:rPr>
          <w:rFonts w:eastAsiaTheme="majorEastAsia"/>
          <w:color w:val="A6192E"/>
        </w:rPr>
        <w:t>]</w:t>
      </w:r>
      <w:r w:rsidR="34F3931C" w:rsidRPr="00F76AD8">
        <w:rPr>
          <w:rFonts w:eastAsiaTheme="majorEastAsia"/>
          <w:color w:val="FF0000"/>
        </w:rPr>
        <w:t xml:space="preserve"> </w:t>
      </w:r>
      <w:r w:rsidR="00B4180E">
        <w:rPr>
          <w:rFonts w:eastAsiaTheme="majorEastAsia"/>
          <w:lang w:val="ru-RU"/>
        </w:rPr>
        <w:t>якомога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ран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ше</w:t>
      </w:r>
      <w:r w:rsidR="0042216B" w:rsidRPr="00F76AD8">
        <w:rPr>
          <w:rFonts w:eastAsiaTheme="majorEastAsia"/>
        </w:rPr>
        <w:t xml:space="preserve">, </w:t>
      </w:r>
      <w:r w:rsidR="00B4180E">
        <w:rPr>
          <w:rFonts w:eastAsiaTheme="majorEastAsia"/>
          <w:lang w:val="ru-RU"/>
        </w:rPr>
        <w:t>але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хоча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б</w:t>
      </w:r>
      <w:r w:rsidR="0042216B" w:rsidRPr="00F76AD8">
        <w:rPr>
          <w:rFonts w:eastAsiaTheme="majorEastAsia"/>
        </w:rPr>
        <w:t xml:space="preserve"> </w:t>
      </w:r>
      <w:r w:rsidR="34F3931C" w:rsidRPr="00F76AD8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number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between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one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and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seven</w:t>
      </w:r>
      <w:r w:rsidR="34F3931C" w:rsidRPr="00F76AD8">
        <w:rPr>
          <w:rFonts w:eastAsiaTheme="majorEastAsia"/>
          <w:color w:val="A6192E"/>
        </w:rPr>
        <w:t>]</w:t>
      </w:r>
      <w:r w:rsidR="34F3931C" w:rsidRPr="00F76AD8">
        <w:rPr>
          <w:rFonts w:eastAsiaTheme="majorEastAsia"/>
          <w:color w:val="FF0000"/>
        </w:rPr>
        <w:t xml:space="preserve"> </w:t>
      </w:r>
      <w:r w:rsidR="00B4180E">
        <w:rPr>
          <w:rFonts w:eastAsiaTheme="majorEastAsia"/>
          <w:lang w:val="ru-RU"/>
        </w:rPr>
        <w:t>дн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в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заздалег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дь</w:t>
      </w:r>
      <w:r w:rsidR="34F3931C" w:rsidRPr="00F76AD8">
        <w:rPr>
          <w:rFonts w:eastAsiaTheme="majorEastAsia"/>
        </w:rPr>
        <w:t xml:space="preserve">. </w:t>
      </w:r>
      <w:r w:rsidR="00B4180E" w:rsidRPr="00B4180E">
        <w:rPr>
          <w:rFonts w:eastAsiaTheme="majorEastAsia"/>
          <w:lang w:val="ru-RU"/>
        </w:rPr>
        <w:t>У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ситуаціях</w:t>
      </w:r>
      <w:r w:rsidR="00B4180E" w:rsidRPr="00F76AD8">
        <w:rPr>
          <w:rFonts w:eastAsiaTheme="majorEastAsia"/>
        </w:rPr>
        <w:t xml:space="preserve">, </w:t>
      </w:r>
      <w:r w:rsidR="00B4180E" w:rsidRPr="00B4180E">
        <w:rPr>
          <w:rFonts w:eastAsiaTheme="majorEastAsia"/>
          <w:lang w:val="ru-RU"/>
        </w:rPr>
        <w:t>коли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працівник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не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може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надати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поперед</w:t>
      </w:r>
      <w:r w:rsidR="00B4180E">
        <w:rPr>
          <w:rFonts w:eastAsiaTheme="majorEastAsia"/>
          <w:lang w:val="ru-RU"/>
        </w:rPr>
        <w:t>ження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заздалег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дь</w:t>
      </w:r>
      <w:r w:rsidR="00B4180E" w:rsidRPr="00F76AD8">
        <w:rPr>
          <w:rFonts w:eastAsiaTheme="majorEastAsia"/>
        </w:rPr>
        <w:t xml:space="preserve">, </w:t>
      </w:r>
      <w:r w:rsidR="00B4180E" w:rsidRPr="00B4180E">
        <w:rPr>
          <w:rFonts w:eastAsiaTheme="majorEastAsia"/>
          <w:lang w:val="ru-RU"/>
        </w:rPr>
        <w:t>йому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слід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звернутися</w:t>
      </w:r>
      <w:r w:rsidR="00B4180E" w:rsidRPr="00F76AD8">
        <w:rPr>
          <w:rFonts w:eastAsiaTheme="majorEastAsia"/>
        </w:rPr>
        <w:t xml:space="preserve"> </w:t>
      </w:r>
      <w:r w:rsidR="00B4180E" w:rsidRPr="00B4180E">
        <w:rPr>
          <w:rFonts w:eastAsiaTheme="majorEastAsia"/>
          <w:lang w:val="ru-RU"/>
        </w:rPr>
        <w:t>до</w:t>
      </w:r>
      <w:r w:rsidR="00B4180E" w:rsidRPr="00F76AD8">
        <w:rPr>
          <w:rFonts w:eastAsiaTheme="majorEastAsia"/>
        </w:rPr>
        <w:t xml:space="preserve"> </w:t>
      </w:r>
      <w:r w:rsidR="34F3931C" w:rsidRPr="00F76AD8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name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position</w:t>
      </w:r>
      <w:r w:rsidR="34F3931C" w:rsidRPr="00F76AD8">
        <w:rPr>
          <w:rFonts w:eastAsiaTheme="majorEastAsia"/>
          <w:color w:val="A6192E"/>
        </w:rPr>
        <w:t>]</w:t>
      </w:r>
      <w:r w:rsidR="34F3931C" w:rsidRPr="00F76AD8">
        <w:rPr>
          <w:rFonts w:eastAsiaTheme="majorEastAsia"/>
          <w:color w:val="FF0000"/>
        </w:rPr>
        <w:t xml:space="preserve"> </w:t>
      </w:r>
      <w:r w:rsidR="0042216B">
        <w:rPr>
          <w:rFonts w:eastAsiaTheme="majorEastAsia"/>
          <w:lang w:val="ru-RU"/>
        </w:rPr>
        <w:t>по</w:t>
      </w:r>
      <w:r w:rsidR="005A5874" w:rsidRPr="00F76AD8">
        <w:rPr>
          <w:rFonts w:eastAsiaTheme="majorEastAsia"/>
          <w:color w:val="FF0000"/>
        </w:rPr>
        <w:t xml:space="preserve"> </w:t>
      </w:r>
      <w:r w:rsidR="005A5874" w:rsidRPr="00F76AD8">
        <w:rPr>
          <w:rFonts w:eastAsiaTheme="majorEastAsia"/>
          <w:color w:val="A6192E"/>
        </w:rPr>
        <w:t>[</w:t>
      </w:r>
      <w:r w:rsidR="00E2072C" w:rsidRPr="004249BC">
        <w:rPr>
          <w:rFonts w:eastAsiaTheme="majorEastAsia"/>
          <w:color w:val="A6192E"/>
        </w:rPr>
        <w:t>phone</w:t>
      </w:r>
      <w:r w:rsidR="00E2072C" w:rsidRPr="00F76AD8">
        <w:rPr>
          <w:rFonts w:eastAsiaTheme="majorEastAsia"/>
          <w:color w:val="A6192E"/>
        </w:rPr>
        <w:t xml:space="preserve">, </w:t>
      </w:r>
      <w:r w:rsidR="00E2072C" w:rsidRPr="004249BC">
        <w:rPr>
          <w:rFonts w:eastAsiaTheme="majorEastAsia"/>
          <w:color w:val="A6192E"/>
        </w:rPr>
        <w:t>email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other</w:t>
      </w:r>
      <w:r w:rsidR="00E2072C" w:rsidRPr="00F76AD8">
        <w:rPr>
          <w:rFonts w:eastAsiaTheme="majorEastAsia"/>
          <w:color w:val="A6192E"/>
        </w:rPr>
        <w:t xml:space="preserve"> </w:t>
      </w:r>
      <w:r w:rsidR="00E2072C" w:rsidRPr="004249BC">
        <w:rPr>
          <w:rFonts w:eastAsiaTheme="majorEastAsia"/>
          <w:color w:val="A6192E"/>
        </w:rPr>
        <w:t>communication</w:t>
      </w:r>
      <w:r w:rsidR="005A5874" w:rsidRPr="00F76AD8">
        <w:rPr>
          <w:rFonts w:eastAsiaTheme="majorEastAsia"/>
          <w:color w:val="A6192E"/>
        </w:rPr>
        <w:t>]</w:t>
      </w:r>
      <w:r w:rsidR="005A5874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як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т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льки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в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н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д</w:t>
      </w:r>
      <w:r w:rsidR="00B4180E" w:rsidRPr="00F76AD8">
        <w:rPr>
          <w:rFonts w:eastAsiaTheme="majorEastAsia"/>
        </w:rPr>
        <w:t>i</w:t>
      </w:r>
      <w:r w:rsidR="00B4180E">
        <w:rPr>
          <w:rFonts w:eastAsiaTheme="majorEastAsia"/>
          <w:lang w:val="ru-RU"/>
        </w:rPr>
        <w:t>знається</w:t>
      </w:r>
      <w:r w:rsidR="00A61885" w:rsidRPr="00F76AD8">
        <w:rPr>
          <w:rFonts w:eastAsiaTheme="majorEastAsia"/>
        </w:rPr>
        <w:t xml:space="preserve">, </w:t>
      </w:r>
      <w:r w:rsidR="00932AB9">
        <w:rPr>
          <w:rFonts w:eastAsiaTheme="majorEastAsia"/>
          <w:lang w:val="ru-RU"/>
        </w:rPr>
        <w:t>що</w:t>
      </w:r>
      <w:r w:rsidR="00A61885" w:rsidRPr="00F76AD8">
        <w:rPr>
          <w:rFonts w:eastAsiaTheme="majorEastAsia"/>
        </w:rPr>
        <w:t xml:space="preserve"> </w:t>
      </w:r>
      <w:r w:rsidR="00A61885" w:rsidRPr="00A61885">
        <w:rPr>
          <w:rFonts w:eastAsiaTheme="majorEastAsia"/>
          <w:lang w:val="ru-RU"/>
        </w:rPr>
        <w:t>не</w:t>
      </w:r>
      <w:r w:rsidR="00A61885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зможе</w:t>
      </w:r>
      <w:r w:rsidR="00B4180E" w:rsidRPr="00F76AD8">
        <w:rPr>
          <w:rFonts w:eastAsiaTheme="majorEastAsia"/>
        </w:rPr>
        <w:t xml:space="preserve"> </w:t>
      </w:r>
      <w:r w:rsidR="00B4180E">
        <w:rPr>
          <w:rFonts w:eastAsiaTheme="majorEastAsia"/>
          <w:lang w:val="ru-RU"/>
        </w:rPr>
        <w:t>працювати</w:t>
      </w:r>
      <w:r w:rsidR="34F3931C" w:rsidRPr="00F76AD8">
        <w:rPr>
          <w:rFonts w:eastAsiaTheme="majorEastAsia"/>
        </w:rPr>
        <w:t>.</w:t>
      </w:r>
    </w:p>
    <w:p w14:paraId="7649C416" w14:textId="16EBAFB9" w:rsidR="007A6E68" w:rsidRPr="00A61885" w:rsidRDefault="00EF03E6" w:rsidP="007A6E68">
      <w:pPr>
        <w:pStyle w:val="Heading2"/>
        <w:rPr>
          <w:lang w:val="ru-RU"/>
        </w:rPr>
      </w:pPr>
      <w:r w:rsidRPr="00EF03E6">
        <w:rPr>
          <w:lang w:val="ru-RU"/>
        </w:rPr>
        <w:t>Відплата, право подати скаргу</w:t>
      </w:r>
    </w:p>
    <w:p w14:paraId="5C689EB5" w14:textId="021AD94B" w:rsidR="00EF03E6" w:rsidRDefault="00EF03E6" w:rsidP="47FCDBE1">
      <w:pPr>
        <w:rPr>
          <w:rFonts w:eastAsiaTheme="majorEastAsia"/>
          <w:lang w:val="ru-RU"/>
        </w:rPr>
      </w:pPr>
      <w:r w:rsidRPr="00EF03E6">
        <w:rPr>
          <w:rFonts w:eastAsiaTheme="majorEastAsia"/>
          <w:lang w:val="ru-RU"/>
        </w:rPr>
        <w:t>Заходи у відповідь або негативні дії з боку роботодавця щодо працівника за використання або запит зароблен</w:t>
      </w:r>
      <w:r>
        <w:rPr>
          <w:rFonts w:eastAsiaTheme="majorEastAsia"/>
          <w:lang w:val="ru-RU"/>
        </w:rPr>
        <w:t>их годин</w:t>
      </w:r>
      <w:r w:rsidRPr="00EF03E6">
        <w:rPr>
          <w:rFonts w:eastAsiaTheme="majorEastAsia"/>
          <w:lang w:val="ru-RU"/>
        </w:rPr>
        <w:t xml:space="preserve"> на випадок хвороби та безпеки або інше здійснення своїх зароблених прав на годин</w:t>
      </w:r>
      <w:r>
        <w:rPr>
          <w:rFonts w:eastAsiaTheme="majorEastAsia"/>
          <w:lang w:val="ru-RU"/>
        </w:rPr>
        <w:t>и</w:t>
      </w:r>
      <w:r w:rsidRPr="00EF03E6">
        <w:rPr>
          <w:rFonts w:eastAsiaTheme="majorEastAsia"/>
          <w:lang w:val="ru-RU"/>
        </w:rPr>
        <w:t xml:space="preserve"> на випадок хвороби та безпеки відповідно до закону </w:t>
      </w:r>
      <w:r>
        <w:rPr>
          <w:rFonts w:eastAsiaTheme="majorEastAsia"/>
          <w:lang w:val="ru-RU"/>
        </w:rPr>
        <w:t>не</w:t>
      </w:r>
      <w:r w:rsidRPr="00EF03E6">
        <w:rPr>
          <w:rFonts w:eastAsiaTheme="majorEastAsia"/>
          <w:lang w:val="ru-RU"/>
        </w:rPr>
        <w:t>законні. Якщо працівник вважає, що до нього були застосовані заходи у відповідь або йому неправомірно відмовили у наданні годин на випадок хвороби та безпеки, він може подати скаргу до Міністерства праці та промисловості штату Міннесота. В</w:t>
      </w:r>
      <w:r>
        <w:rPr>
          <w:rFonts w:eastAsiaTheme="majorEastAsia"/>
          <w:lang w:val="ru-RU"/>
        </w:rPr>
        <w:t>iн</w:t>
      </w:r>
      <w:r w:rsidRPr="00EF03E6">
        <w:rPr>
          <w:rFonts w:eastAsiaTheme="majorEastAsia"/>
          <w:lang w:val="ru-RU"/>
        </w:rPr>
        <w:t xml:space="preserve"> також мож</w:t>
      </w:r>
      <w:r>
        <w:rPr>
          <w:rFonts w:eastAsiaTheme="majorEastAsia"/>
          <w:lang w:val="ru-RU"/>
        </w:rPr>
        <w:t>е</w:t>
      </w:r>
      <w:r w:rsidRPr="00EF03E6">
        <w:rPr>
          <w:rFonts w:eastAsiaTheme="majorEastAsia"/>
          <w:lang w:val="ru-RU"/>
        </w:rPr>
        <w:t xml:space="preserve"> подати цивільний позов до суду за порушення щодо зароблен</w:t>
      </w:r>
      <w:r>
        <w:rPr>
          <w:rFonts w:eastAsiaTheme="majorEastAsia"/>
          <w:lang w:val="ru-RU"/>
        </w:rPr>
        <w:t>их</w:t>
      </w:r>
      <w:r w:rsidRPr="00EF03E6">
        <w:rPr>
          <w:rFonts w:eastAsiaTheme="majorEastAsia"/>
          <w:lang w:val="ru-RU"/>
        </w:rPr>
        <w:t xml:space="preserve"> годин на випадок хвороби та безпеки.</w:t>
      </w:r>
    </w:p>
    <w:p w14:paraId="3DEFF732" w14:textId="3DE264F9" w:rsidR="00885C42" w:rsidRPr="00A61885" w:rsidRDefault="00A61885" w:rsidP="47FCDBE1">
      <w:pPr>
        <w:rPr>
          <w:rFonts w:eastAsiaTheme="majorEastAsia"/>
          <w:b/>
          <w:bCs/>
          <w:color w:val="003865" w:themeColor="accent1"/>
          <w:sz w:val="32"/>
          <w:szCs w:val="32"/>
          <w:lang w:val="ru-RU"/>
        </w:rPr>
      </w:pPr>
      <w:r w:rsidRPr="00A61885">
        <w:rPr>
          <w:rFonts w:eastAsiaTheme="majorEastAsia"/>
          <w:b/>
          <w:bCs/>
          <w:color w:val="003865" w:themeColor="accent1"/>
          <w:sz w:val="32"/>
          <w:szCs w:val="32"/>
          <w:lang w:val="ru-RU"/>
        </w:rPr>
        <w:t xml:space="preserve">Для </w:t>
      </w:r>
      <w:r w:rsidR="00F81304">
        <w:rPr>
          <w:rFonts w:eastAsiaTheme="majorEastAsia"/>
          <w:b/>
          <w:bCs/>
          <w:color w:val="003865" w:themeColor="accent1"/>
          <w:sz w:val="32"/>
          <w:szCs w:val="32"/>
          <w:lang w:val="ru-RU"/>
        </w:rPr>
        <w:t>додаткової iнформацiї</w:t>
      </w:r>
    </w:p>
    <w:p w14:paraId="10BDBD5A" w14:textId="702239A7" w:rsidR="00885C42" w:rsidRPr="00F76AD8" w:rsidRDefault="00F81304" w:rsidP="47FCDBE1">
      <w:pPr>
        <w:rPr>
          <w:rFonts w:eastAsiaTheme="majorEastAsia"/>
          <w:lang w:val="ru-RU"/>
        </w:rPr>
      </w:pPr>
      <w:r w:rsidRPr="00F81304">
        <w:rPr>
          <w:rFonts w:eastAsiaTheme="majorEastAsia"/>
          <w:lang w:val="ru-RU"/>
        </w:rPr>
        <w:t>Зв'яжіться з відділом трудових стандартів Міністерства праці та промисловості Міннесоти за телефоном 651-284-5075 або ел.</w:t>
      </w:r>
      <w:r>
        <w:rPr>
          <w:rFonts w:eastAsiaTheme="majorEastAsia"/>
          <w:lang w:val="ru-RU"/>
        </w:rPr>
        <w:t>поштою</w:t>
      </w:r>
      <w:r w:rsidRPr="00F81304">
        <w:rPr>
          <w:rFonts w:eastAsiaTheme="majorEastAsia"/>
          <w:lang w:val="ru-RU"/>
        </w:rPr>
        <w:t xml:space="preserve"> </w:t>
      </w:r>
      <w:hyperlink r:id="rId13" w:history="1">
        <w:r w:rsidR="005B2AE2" w:rsidRPr="009340BE">
          <w:rPr>
            <w:rStyle w:val="Hyperlink"/>
            <w:rFonts w:eastAsiaTheme="majorEastAsia"/>
          </w:rPr>
          <w:t>esst.dli@state.mn.us</w:t>
        </w:r>
      </w:hyperlink>
      <w:r w:rsidR="005B2AE2">
        <w:rPr>
          <w:rFonts w:eastAsiaTheme="majorEastAsia"/>
        </w:rPr>
        <w:t xml:space="preserve"> </w:t>
      </w:r>
      <w:hyperlink r:id="rId14" w:history="1"/>
      <w:r w:rsidRPr="00F81304">
        <w:rPr>
          <w:rFonts w:eastAsiaTheme="majorEastAsia"/>
          <w:lang w:val="ru-RU"/>
        </w:rPr>
        <w:t>або відвідайте веб-сторінку департаменту про зароблен</w:t>
      </w:r>
      <w:r>
        <w:rPr>
          <w:rFonts w:eastAsiaTheme="majorEastAsia"/>
          <w:lang w:val="ru-RU"/>
        </w:rPr>
        <w:t>i</w:t>
      </w:r>
      <w:r w:rsidRPr="00F81304">
        <w:rPr>
          <w:rFonts w:eastAsiaTheme="majorEastAsia"/>
          <w:lang w:val="ru-RU"/>
        </w:rPr>
        <w:t xml:space="preserve"> годин</w:t>
      </w:r>
      <w:r>
        <w:rPr>
          <w:rFonts w:eastAsiaTheme="majorEastAsia"/>
          <w:lang w:val="ru-RU"/>
        </w:rPr>
        <w:t>и</w:t>
      </w:r>
      <w:r w:rsidRPr="00F81304">
        <w:rPr>
          <w:rFonts w:eastAsiaTheme="majorEastAsia"/>
          <w:lang w:val="ru-RU"/>
        </w:rPr>
        <w:t xml:space="preserve"> на випадок хвороби та безпеки за адресою </w:t>
      </w:r>
      <w:hyperlink r:id="rId15" w:history="1">
        <w:r w:rsidR="00F76AD8" w:rsidRPr="005B2AE2">
          <w:rPr>
            <w:rStyle w:val="Hyperlink"/>
          </w:rPr>
          <w:t>sickleave</w:t>
        </w:r>
        <w:r w:rsidR="00F76AD8" w:rsidRPr="005B2AE2">
          <w:rPr>
            <w:rStyle w:val="Hyperlink"/>
            <w:lang w:val="ru-RU"/>
          </w:rPr>
          <w:t>.</w:t>
        </w:r>
        <w:r w:rsidR="00F76AD8" w:rsidRPr="005B2AE2">
          <w:rPr>
            <w:rStyle w:val="Hyperlink"/>
          </w:rPr>
          <w:t>mn</w:t>
        </w:r>
        <w:r w:rsidR="00F76AD8" w:rsidRPr="005B2AE2">
          <w:rPr>
            <w:rStyle w:val="Hyperlink"/>
            <w:lang w:val="ru-RU"/>
          </w:rPr>
          <w:t>.</w:t>
        </w:r>
        <w:r w:rsidR="00F76AD8" w:rsidRPr="005B2AE2">
          <w:rPr>
            <w:rStyle w:val="Hyperlink"/>
          </w:rPr>
          <w:t>gov</w:t>
        </w:r>
      </w:hyperlink>
      <w:r w:rsidR="00F0088C" w:rsidRPr="00F76AD8">
        <w:rPr>
          <w:rFonts w:eastAsiaTheme="majorEastAsia"/>
          <w:lang w:val="ru-RU"/>
        </w:rPr>
        <w:t>.</w:t>
      </w:r>
    </w:p>
    <w:p w14:paraId="0B09CF67" w14:textId="69E50273" w:rsidR="00722C60" w:rsidRDefault="00F81304" w:rsidP="00A61885">
      <w:pPr>
        <w:spacing w:before="0" w:after="0" w:line="240" w:lineRule="auto"/>
        <w:rPr>
          <w:lang w:val="ru-RU"/>
        </w:rPr>
      </w:pPr>
      <w:r w:rsidRPr="00F81304">
        <w:rPr>
          <w:lang w:val="ru-RU"/>
        </w:rPr>
        <w:t>Цей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документ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містить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важливу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інформацію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про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вашу</w:t>
      </w:r>
      <w:r w:rsidRPr="00F76AD8">
        <w:rPr>
          <w:lang w:val="ru-RU"/>
        </w:rPr>
        <w:t xml:space="preserve"> </w:t>
      </w:r>
      <w:r w:rsidRPr="00F81304">
        <w:rPr>
          <w:lang w:val="ru-RU"/>
        </w:rPr>
        <w:t>роботу</w:t>
      </w:r>
      <w:r w:rsidRPr="00F76AD8">
        <w:rPr>
          <w:lang w:val="ru-RU"/>
        </w:rPr>
        <w:t xml:space="preserve">. </w:t>
      </w:r>
      <w:r w:rsidRPr="00F81304">
        <w:rPr>
          <w:lang w:val="ru-RU"/>
        </w:rPr>
        <w:t xml:space="preserve">Позначте </w:t>
      </w:r>
      <w:r w:rsidR="00AD0E47">
        <w:rPr>
          <w:lang w:val="ru-RU"/>
        </w:rPr>
        <w:t>квадратик</w:t>
      </w:r>
      <w:r w:rsidRPr="00F81304">
        <w:rPr>
          <w:lang w:val="ru-RU"/>
        </w:rPr>
        <w:t xml:space="preserve"> зліва, щоб отримати цю інформацію цією мовою</w:t>
      </w:r>
      <w:r w:rsidR="00F76AD8">
        <w:rPr>
          <w:lang w:val="ru-RU"/>
        </w:rPr>
        <w:t xml:space="preserve"> </w:t>
      </w:r>
      <w:r w:rsidR="00F76AD8" w:rsidRPr="00F76AD8">
        <w:rPr>
          <w:lang w:val="ru-RU"/>
        </w:rPr>
        <w:t>або напишіть внизу документа потрібну мову</w:t>
      </w:r>
      <w:r w:rsidR="00722C60" w:rsidRPr="00A61885">
        <w:rPr>
          <w:lang w:val="ru-RU"/>
        </w:rPr>
        <w:t>.</w:t>
      </w:r>
    </w:p>
    <w:p w14:paraId="4000D365" w14:textId="77777777" w:rsidR="00C36380" w:rsidRDefault="00C36380" w:rsidP="00A61885">
      <w:pPr>
        <w:spacing w:before="0" w:after="0" w:line="240" w:lineRule="auto"/>
        <w:rPr>
          <w:lang w:val="ru-RU"/>
        </w:rPr>
      </w:pPr>
    </w:p>
    <w:p w14:paraId="22A6847E" w14:textId="77777777" w:rsidR="00F76AD8" w:rsidRDefault="00F76AD8" w:rsidP="00A61885">
      <w:pPr>
        <w:spacing w:before="0" w:after="0" w:line="240" w:lineRule="auto"/>
        <w:rPr>
          <w:lang w:val="ru-RU"/>
        </w:rPr>
      </w:pPr>
    </w:p>
    <w:p w14:paraId="49F29EFA" w14:textId="77777777" w:rsidR="00F76AD8" w:rsidRPr="00A61885" w:rsidRDefault="00F76AD8" w:rsidP="00A61885">
      <w:pPr>
        <w:spacing w:before="0" w:after="0" w:line="240" w:lineRule="auto"/>
        <w:rPr>
          <w:lang w:val="ru-RU"/>
        </w:rPr>
      </w:pP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4249BC">
        <w:rPr>
          <w:noProof/>
          <w:sz w:val="20"/>
          <w:lang w:bidi="ar-SA"/>
        </w:rPr>
        <w:lastRenderedPageBreak/>
        <w:drawing>
          <wp:inline distT="0" distB="0" distL="0" distR="0" wp14:anchorId="4B289E51" wp14:editId="58758A5F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7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2CB9" w14:textId="77777777" w:rsidR="00397E67" w:rsidRDefault="00397E67" w:rsidP="00E55F4F">
      <w:r>
        <w:separator/>
      </w:r>
    </w:p>
  </w:endnote>
  <w:endnote w:type="continuationSeparator" w:id="0">
    <w:p w14:paraId="4EB04366" w14:textId="77777777" w:rsidR="00397E67" w:rsidRDefault="00397E67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ACE0" w14:textId="77777777" w:rsidR="00397E67" w:rsidRDefault="00397E67" w:rsidP="00E55F4F">
      <w:r>
        <w:separator/>
      </w:r>
    </w:p>
  </w:footnote>
  <w:footnote w:type="continuationSeparator" w:id="0">
    <w:p w14:paraId="6856D31C" w14:textId="77777777" w:rsidR="00397E67" w:rsidRDefault="00397E67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8pt;height:25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75BC7"/>
    <w:rsid w:val="00282084"/>
    <w:rsid w:val="00284EED"/>
    <w:rsid w:val="00291052"/>
    <w:rsid w:val="002B338C"/>
    <w:rsid w:val="002B449E"/>
    <w:rsid w:val="002B5E79"/>
    <w:rsid w:val="002C0859"/>
    <w:rsid w:val="002D746E"/>
    <w:rsid w:val="002E5F22"/>
    <w:rsid w:val="002F1947"/>
    <w:rsid w:val="002F2ED4"/>
    <w:rsid w:val="0030336E"/>
    <w:rsid w:val="00303BCC"/>
    <w:rsid w:val="00306D94"/>
    <w:rsid w:val="003125DF"/>
    <w:rsid w:val="003343A6"/>
    <w:rsid w:val="00335736"/>
    <w:rsid w:val="00342EC8"/>
    <w:rsid w:val="003471E3"/>
    <w:rsid w:val="003563D2"/>
    <w:rsid w:val="003573BD"/>
    <w:rsid w:val="003652DF"/>
    <w:rsid w:val="00376FA5"/>
    <w:rsid w:val="00397E67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216B"/>
    <w:rsid w:val="004249BC"/>
    <w:rsid w:val="00427F7C"/>
    <w:rsid w:val="00430CC9"/>
    <w:rsid w:val="00461804"/>
    <w:rsid w:val="00466810"/>
    <w:rsid w:val="00472226"/>
    <w:rsid w:val="004725C6"/>
    <w:rsid w:val="004816B5"/>
    <w:rsid w:val="00483DD2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AE2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B6A97"/>
    <w:rsid w:val="006C0E45"/>
    <w:rsid w:val="006D4829"/>
    <w:rsid w:val="006E2E9D"/>
    <w:rsid w:val="006F3B38"/>
    <w:rsid w:val="007137A4"/>
    <w:rsid w:val="00722C60"/>
    <w:rsid w:val="00722C9D"/>
    <w:rsid w:val="007260B3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56D2"/>
    <w:rsid w:val="007E685C"/>
    <w:rsid w:val="007F5459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32AB9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31F8"/>
    <w:rsid w:val="00A57FE8"/>
    <w:rsid w:val="00A61885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C6137"/>
    <w:rsid w:val="00AD0E47"/>
    <w:rsid w:val="00AD39DA"/>
    <w:rsid w:val="00AE290C"/>
    <w:rsid w:val="00AE5772"/>
    <w:rsid w:val="00AF1133"/>
    <w:rsid w:val="00AF22AD"/>
    <w:rsid w:val="00AF5107"/>
    <w:rsid w:val="00B013CC"/>
    <w:rsid w:val="00B03747"/>
    <w:rsid w:val="00B06264"/>
    <w:rsid w:val="00B07C8F"/>
    <w:rsid w:val="00B16FE6"/>
    <w:rsid w:val="00B275D4"/>
    <w:rsid w:val="00B4180E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24F8"/>
    <w:rsid w:val="00C33BA7"/>
    <w:rsid w:val="00C36380"/>
    <w:rsid w:val="00C365CE"/>
    <w:rsid w:val="00C417EB"/>
    <w:rsid w:val="00C528AE"/>
    <w:rsid w:val="00C5655E"/>
    <w:rsid w:val="00C64B02"/>
    <w:rsid w:val="00C67FC6"/>
    <w:rsid w:val="00C7130A"/>
    <w:rsid w:val="00C855BA"/>
    <w:rsid w:val="00CA0B07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B7C94"/>
    <w:rsid w:val="00EC579D"/>
    <w:rsid w:val="00ED5BDC"/>
    <w:rsid w:val="00ED7DAC"/>
    <w:rsid w:val="00EE3134"/>
    <w:rsid w:val="00EF03E6"/>
    <w:rsid w:val="00F0088C"/>
    <w:rsid w:val="00F067A6"/>
    <w:rsid w:val="00F11A6D"/>
    <w:rsid w:val="00F20B25"/>
    <w:rsid w:val="00F24E5A"/>
    <w:rsid w:val="00F30DB2"/>
    <w:rsid w:val="00F469FD"/>
    <w:rsid w:val="00F578A7"/>
    <w:rsid w:val="00F70C03"/>
    <w:rsid w:val="00F76AD8"/>
    <w:rsid w:val="00F81304"/>
    <w:rsid w:val="00F84C6D"/>
    <w:rsid w:val="00F9084A"/>
    <w:rsid w:val="00FA2BB1"/>
    <w:rsid w:val="00FB0497"/>
    <w:rsid w:val="00FB0B32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dli.mn.gov/sick-leav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li.laborstandards@state.mn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3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48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April Peterson</cp:lastModifiedBy>
  <cp:revision>11</cp:revision>
  <dcterms:created xsi:type="dcterms:W3CDTF">2023-11-29T05:57:00Z</dcterms:created>
  <dcterms:modified xsi:type="dcterms:W3CDTF">2024-06-27T19:14:00Z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